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0" w:leftChars="0" w:firstLine="0" w:firstLineChars="0"/>
        <w:rPr>
          <w:rFonts w:hint="eastAsia"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恭城瑶族自治县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2020年度绩效考评社会评价意见建议落实及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整改工作方案</w:t>
      </w:r>
    </w:p>
    <w:p>
      <w:pPr>
        <w:pStyle w:val="2"/>
      </w:pPr>
    </w:p>
    <w:p>
      <w:pPr>
        <w:widowControl/>
        <w:shd w:val="clear" w:color="auto" w:fill="FFFFFF"/>
        <w:spacing w:line="586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关于反馈2020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年度绩效考评社会评价意见及做好2021年整改工作的通知》（市督效办发〔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，我县对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年度绩效考评社会评价中群众提出的意见、建议进行认真分析研究，现结合实际制定如下整改方案。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 </w:t>
      </w:r>
    </w:p>
    <w:p>
      <w:pPr>
        <w:widowControl/>
        <w:shd w:val="clear" w:color="auto" w:fill="FFFFFF"/>
        <w:spacing w:line="586" w:lineRule="exact"/>
        <w:ind w:firstLine="672"/>
        <w:rPr>
          <w:rFonts w:ascii="仿宋_GB2312" w:hAnsi="宋体" w:eastAsia="仿宋_GB2312" w:cs="宋体"/>
          <w:kern w:val="0"/>
          <w:sz w:val="27"/>
          <w:szCs w:val="27"/>
        </w:rPr>
      </w:pPr>
      <w:r>
        <w:rPr>
          <w:rFonts w:hint="eastAsia" w:ascii="仿宋_GB2312" w:hAnsi="Times New Roman" w:eastAsia="仿宋_GB2312" w:cs="Times New Roman"/>
          <w:spacing w:val="8"/>
          <w:kern w:val="0"/>
          <w:sz w:val="32"/>
          <w:szCs w:val="32"/>
        </w:rPr>
        <w:t>全面贯彻落实习近平新时代中国特色社会主义思想、党的十九大和</w:t>
      </w:r>
      <w:r>
        <w:rPr>
          <w:rFonts w:hint="eastAsia" w:ascii="仿宋_GB2312" w:hAnsi="Times New Roman" w:eastAsia="仿宋_GB2312" w:cs="Times New Roman"/>
          <w:color w:val="auto"/>
          <w:spacing w:val="8"/>
          <w:kern w:val="0"/>
          <w:sz w:val="32"/>
          <w:szCs w:val="32"/>
        </w:rPr>
        <w:t>十九届四中</w:t>
      </w:r>
      <w:r>
        <w:rPr>
          <w:rFonts w:hint="eastAsia" w:ascii="仿宋_GB2312" w:hAnsi="Times New Roman" w:eastAsia="仿宋_GB2312" w:cs="Times New Roman"/>
          <w:color w:val="auto"/>
          <w:spacing w:val="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pacing w:val="8"/>
          <w:kern w:val="0"/>
          <w:sz w:val="32"/>
          <w:szCs w:val="32"/>
        </w:rPr>
        <w:t>五中全会精神，认</w:t>
      </w:r>
      <w:r>
        <w:rPr>
          <w:rFonts w:hint="eastAsia" w:ascii="仿宋_GB2312" w:hAnsi="Times New Roman" w:eastAsia="仿宋_GB2312" w:cs="Times New Roman"/>
          <w:spacing w:val="8"/>
          <w:kern w:val="0"/>
          <w:sz w:val="32"/>
          <w:szCs w:val="32"/>
        </w:rPr>
        <w:t>真落实上级决策部署，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紧紧围绕市委、市政府和县委、县政府中心工作，</w:t>
      </w:r>
      <w:r>
        <w:rPr>
          <w:rFonts w:hint="eastAsia" w:ascii="仿宋_GB2312" w:hAnsi="Times New Roman" w:eastAsia="仿宋_GB2312" w:cs="Times New Roman"/>
          <w:spacing w:val="8"/>
          <w:kern w:val="0"/>
          <w:sz w:val="32"/>
          <w:szCs w:val="32"/>
        </w:rPr>
        <w:t>强化绩效管理，以整改工作为契机，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以工作落实为目标，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积极</w:t>
      </w:r>
      <w:r>
        <w:rPr>
          <w:rFonts w:hint="eastAsia" w:ascii="仿宋_GB2312" w:hAnsi="Times New Roman" w:eastAsia="仿宋_GB2312" w:cs="Times New Roman"/>
          <w:spacing w:val="8"/>
          <w:kern w:val="0"/>
          <w:sz w:val="32"/>
          <w:szCs w:val="32"/>
        </w:rPr>
        <w:t>回应群众诉求，切实解决群众反映的热点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难点</w:t>
      </w:r>
      <w:r>
        <w:rPr>
          <w:rFonts w:hint="eastAsia" w:ascii="仿宋_GB2312" w:hAnsi="Times New Roman" w:eastAsia="仿宋_GB2312" w:cs="Times New Roman"/>
          <w:spacing w:val="8"/>
          <w:kern w:val="0"/>
          <w:sz w:val="32"/>
          <w:szCs w:val="32"/>
        </w:rPr>
        <w:t>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pacing w:val="8"/>
          <w:kern w:val="0"/>
          <w:sz w:val="32"/>
          <w:szCs w:val="32"/>
        </w:rPr>
        <w:t>不断提高机关执行力和公信力，提高公众满意度，为确保全面完成年度各项目标任务提供坚强保证。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二、工作目标</w:t>
      </w:r>
    </w:p>
    <w:p>
      <w:pPr>
        <w:widowControl/>
        <w:shd w:val="clear" w:color="auto" w:fill="FFFFFF"/>
        <w:spacing w:line="586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群众反馈的意见、建议为整改重点，以建立健全相应的长效机制为目标，通过绩效管理与考评使各级各部门进一步明确工作目标和职责任务，强化有效措施，狠抓整改落实，确保工作作风明显好转，服务能力明显增强，办事效率明显提高，发展环境明显优化，政府公信力不断增强，公众满意度不断提升。</w:t>
      </w:r>
    </w:p>
    <w:p>
      <w:pPr>
        <w:pStyle w:val="6"/>
        <w:widowControl/>
        <w:numPr>
          <w:ilvl w:val="0"/>
          <w:numId w:val="1"/>
        </w:numPr>
        <w:spacing w:line="586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组织机构</w:t>
      </w:r>
    </w:p>
    <w:p>
      <w:pPr>
        <w:spacing w:line="586" w:lineRule="exact"/>
        <w:ind w:firstLine="640" w:firstLineChars="200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为确保整改工作的有效落实，特成立整改工作领导小组，领导小组组长、副组长由县绩效考评领导小组的领导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，成员分别由莲花镇、栗木镇、平安镇、西岭镇、恭城镇、三江乡等乡（镇）党政主要领导及县民政局、县水利局、县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发展改革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局、县农业农村局、县工信商贸局、县文广体旅局、县市场监管局等责任单位主要领导组成。领导小组下设办公室，办公室设在县委县政府督查绩效办。</w:t>
      </w:r>
    </w:p>
    <w:p>
      <w:pPr>
        <w:widowControl/>
        <w:shd w:val="clear" w:color="auto" w:fill="FFFFFF"/>
        <w:spacing w:line="586" w:lineRule="exact"/>
        <w:ind w:firstLine="640"/>
        <w:rPr>
          <w:rFonts w:ascii="仿宋_GB2312" w:hAnsi="宋体" w:eastAsia="仿宋_GB2312" w:cs="宋体"/>
          <w:kern w:val="0"/>
          <w:sz w:val="27"/>
          <w:szCs w:val="27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（一）明确整改任务，落实整改责任。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各责任单位要在规定时间内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督查绩效办反馈涉及我县的自治区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年度绩效考评民意调查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收集的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意见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、建议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进行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分类、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分解，明确整改内容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、整改时限和成果</w:t>
      </w:r>
      <w:r>
        <w:rPr>
          <w:rFonts w:hint="eastAsia" w:ascii="仿宋_GB2312" w:hAnsi="宋体" w:eastAsia="仿宋_GB2312" w:cs="宋体"/>
          <w:strike w:val="0"/>
          <w:dstrike w:val="0"/>
          <w:color w:val="auto"/>
          <w:kern w:val="0"/>
          <w:sz w:val="32"/>
          <w:szCs w:val="32"/>
          <w:lang w:val="en-US" w:eastAsia="zh-CN"/>
        </w:rPr>
        <w:t>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验方式，落实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整改责任领导、责任部门及责任人员，切实抓好整改。</w:t>
      </w:r>
    </w:p>
    <w:p>
      <w:pPr>
        <w:widowControl/>
        <w:shd w:val="clear" w:color="auto" w:fill="FFFFFF"/>
        <w:spacing w:line="586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（二）公布整改情况，接受社会监督。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按照“谁整改谁公布”的原则，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县绩效考评领导小组办公室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将在县人民政府门户网站、恭城电视台、《今日恭城》公布整改方案和整改成效，各责任单位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要采取有效方式向公众公布有关整改措施、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整改落实情况，确保做到事事有回应，件件有着落，自觉接受群众的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评议和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监督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，提高公众参与的积极性和对整改工作的知晓率。</w:t>
      </w:r>
    </w:p>
    <w:p>
      <w:pPr>
        <w:widowControl/>
        <w:shd w:val="clear" w:color="auto" w:fill="FFFFFF"/>
        <w:spacing w:line="586" w:lineRule="exact"/>
        <w:ind w:firstLine="640"/>
        <w:rPr>
          <w:rFonts w:ascii="仿宋_GB2312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（三）纳入指标体系，开展督查考评。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年度自治区社会评价意见建议落实及整改工作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纳入我县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年度绩效考评指标体系。县绩效考评领导小组将派出督查核验组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对各有关单位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整改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工作的督查和考评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，对重点整改事项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做到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全程跟进，全程监督，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督查结果计入各有关单位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年度绩效考评成绩。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凡在督查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、考评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中发现有弄虚作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</w:rPr>
        <w:t>假、工作不力、整改不到位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等问题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</w:rPr>
        <w:t>，按有关规定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给予处理</w:t>
      </w:r>
      <w:r>
        <w:rPr>
          <w:rFonts w:hint="eastAsia" w:ascii="仿宋_GB2312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6" w:lineRule="exact"/>
        <w:ind w:firstLine="640"/>
        <w:rPr>
          <w:rFonts w:ascii="仿宋_GB2312" w:hAnsi="宋体" w:eastAsia="仿宋_GB2312" w:cs="宋体"/>
          <w:kern w:val="0"/>
          <w:sz w:val="27"/>
          <w:szCs w:val="27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（四）建立健全长效机制。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建立健全群众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意见建议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整改工作过程监管机制、问责机制、回访验收机制和回应群众诉求的长效机制。为方便群众监督，开设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全县群众意见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整改工作投诉监督电话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0773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8215131，投诉督查成效列入绩效考评范畴。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同时，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各责任单位也要通过设立投诉监督平台（电话、信箱、网络等）、政府信息公开、专题调研座谈等方式，建立健全群众意见诉求的收集、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处理、回应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机制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widowControl/>
        <w:shd w:val="clear" w:color="auto" w:fill="FFFFFF"/>
        <w:spacing w:line="586" w:lineRule="exact"/>
        <w:ind w:firstLine="640"/>
        <w:rPr>
          <w:rFonts w:ascii="仿宋_GB2312" w:hAnsi="宋体" w:eastAsia="仿宋_GB2312" w:cs="宋体"/>
          <w:kern w:val="0"/>
          <w:sz w:val="27"/>
          <w:szCs w:val="27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（一）高度重视整改工作。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各整改责任单位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要高度重视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意见建议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整改工作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把整改工作摆上重要议事日程，主要领导亲自抓，分管领导具体抓，要结合本地本部门实际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情况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，按照“五个明确”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要求（即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明确的整改目标、明确的整改措施、明确的整改时间表、明确的整改责任单位、明确的可以检验的成果形式）制定切实可行的整改方案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做到可实现、可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考核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监督。同时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运用多种方式，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进一步加大宣传力度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和舆论监督力度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提高整改实效。</w:t>
      </w:r>
    </w:p>
    <w:p>
      <w:pPr>
        <w:widowControl/>
        <w:shd w:val="clear" w:color="auto" w:fill="FFFFFF"/>
        <w:spacing w:line="586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（二）积极回应群众诉求。</w:t>
      </w:r>
      <w:r>
        <w:rPr>
          <w:rFonts w:hint="eastAsia" w:eastAsia="仿宋_GB2312"/>
          <w:sz w:val="32"/>
          <w:szCs w:val="32"/>
        </w:rPr>
        <w:t>各责任单位对群众提出的意见建议进行归纳整理时，应做到件件有落实，条条有回应。对群众所提出的建设性意见建议，应及时吸纳和整改；对群众有困难需帮扶的意见，要及时关注，能解决的及时解决；对群众不了解情况、产生误解或怨言的意见，要及时做好政策宣传和解释。</w:t>
      </w:r>
    </w:p>
    <w:p>
      <w:pPr>
        <w:widowControl/>
        <w:shd w:val="clear" w:color="auto" w:fill="FFFFFF"/>
        <w:spacing w:line="586" w:lineRule="exact"/>
        <w:ind w:firstLine="640"/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（三）抓好整改过程管理。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各责任单位要对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整改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进行过程管理，跟踪督查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要严格按照整改方案，对照整改目标，倒排工作进度，积极推进落实。对于具备整改条件的，要立行立改；对于情况复杂、短期内无法全面整改的，要做好整改计划，分阶段分步骤实施，限期完成并达到整改目标，同时要定期向有关群体通报整改情况；对于本单位无法整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改的问题，也要及时向有关群体做好说明并提供必要的帮助、指导。同时，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对于需要多部门配合推进的整改事项，所对应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责任单位要主动与相关部门沟通协调，研究解决存在问题，齐心协力完成整改任务。</w:t>
      </w:r>
    </w:p>
    <w:tbl>
      <w:tblPr>
        <w:tblStyle w:val="8"/>
        <w:tblpPr w:leftFromText="180" w:rightFromText="180" w:vertAnchor="text" w:horzAnchor="page" w:tblpX="1709" w:tblpY="2414"/>
        <w:tblW w:w="91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80" w:type="dxa"/>
            <w:vAlign w:val="center"/>
          </w:tcPr>
          <w:p>
            <w:pPr>
              <w:ind w:firstLine="296" w:firstLineChars="100"/>
              <w:rPr>
                <w:rFonts w:ascii="Times New Roman" w:hAnsi="Times New Roman" w:eastAsia="仿宋_GB2312" w:cs="Times New Roman"/>
                <w:spacing w:val="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8"/>
                <w:szCs w:val="28"/>
              </w:rPr>
              <w:t xml:space="preserve">恭城瑶族自治县绩效考评领导小组办公室  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8"/>
                <w:szCs w:val="28"/>
              </w:rPr>
              <w:t>202</w:t>
            </w:r>
            <w:r>
              <w:rPr>
                <w:rFonts w:hint="eastAsia" w:eastAsia="仿宋_GB2312" w:cs="仿宋_GB2312"/>
                <w:spacing w:val="8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8"/>
                <w:szCs w:val="28"/>
              </w:rPr>
              <w:t>年</w:t>
            </w:r>
            <w:r>
              <w:rPr>
                <w:rFonts w:hint="eastAsia" w:eastAsia="仿宋_GB2312" w:cs="仿宋_GB2312"/>
                <w:spacing w:val="8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8"/>
                <w:szCs w:val="28"/>
              </w:rPr>
              <w:t>月</w:t>
            </w:r>
            <w:r>
              <w:rPr>
                <w:rFonts w:hint="eastAsia" w:eastAsia="仿宋_GB2312" w:cs="仿宋_GB2312"/>
                <w:spacing w:val="8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8"/>
                <w:szCs w:val="28"/>
                <w:lang w:val="en-US" w:eastAsia="zh-CN"/>
              </w:rPr>
              <w:t>印发</w:t>
            </w:r>
          </w:p>
        </w:tc>
      </w:tr>
    </w:tbl>
    <w:p>
      <w:pPr>
        <w:rPr>
          <w:rFonts w:hint="eastAsia"/>
        </w:rPr>
      </w:pPr>
    </w:p>
    <w:p>
      <w:pPr>
        <w:pStyle w:val="2"/>
      </w:pPr>
    </w:p>
    <w:p>
      <w:pPr>
        <w:jc w:val="right"/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2098" w:right="130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bertus Extra Bold">
    <w:panose1 w:val="020E0802040304020204"/>
    <w:charset w:val="00"/>
    <w:family w:val="auto"/>
    <w:pitch w:val="default"/>
    <w:sig w:usb0="00000007" w:usb1="00000000" w:usb2="00000000" w:usb3="00000000" w:csb0="00000093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Helvetica Narrow">
    <w:panose1 w:val="020B0506020203020204"/>
    <w:charset w:val="00"/>
    <w:family w:val="auto"/>
    <w:pitch w:val="default"/>
    <w:sig w:usb0="00000007" w:usb1="00000000" w:usb2="00000000" w:usb3="00000000" w:csb0="00000093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lbertus Medium">
    <w:panose1 w:val="020E0602030304020304"/>
    <w:charset w:val="00"/>
    <w:family w:val="auto"/>
    <w:pitch w:val="default"/>
    <w:sig w:usb0="00000007" w:usb1="00000000" w:usb2="00000000" w:usb3="00000000" w:csb0="00000093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uphemia">
    <w:altName w:val="NumberOnly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ITC Zapf Chancery">
    <w:panose1 w:val="03010101010201010101"/>
    <w:charset w:val="00"/>
    <w:family w:val="auto"/>
    <w:pitch w:val="default"/>
    <w:sig w:usb0="00000007" w:usb1="00000000" w:usb2="00000000" w:usb3="00000000" w:csb0="00000093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qtquickcontrols">
    <w:altName w:val="NumberOnly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Univers">
    <w:panose1 w:val="020B060302020203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eastAsia" w:asciiTheme="minorEastAsia" w:hAnsiTheme="minorEastAsia" w:cstheme="minorEastAsia"/>
        <w:spacing w:val="-23"/>
        <w:sz w:val="28"/>
        <w:szCs w:val="28"/>
        <w:lang w:val="en-US" w:eastAsia="zh-CN"/>
      </w:rPr>
    </w:pPr>
    <w:r>
      <w:rPr>
        <w:rFonts w:hint="eastAsia" w:asciiTheme="minorEastAsia" w:hAnsiTheme="minorEastAsia" w:cstheme="minorEastAsia"/>
        <w:spacing w:val="-23"/>
        <w:sz w:val="28"/>
        <w:szCs w:val="28"/>
        <w:lang w:val="en-US" w:eastAsia="zh-CN"/>
      </w:rPr>
      <w:t xml:space="preserve"> </w:t>
    </w:r>
  </w:p>
  <w:p>
    <w:pPr>
      <w:pStyle w:val="4"/>
      <w:wordWrap w:val="0"/>
      <w:jc w:val="right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t>—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  <w:lang w:val="en-US" w:eastAsia="zh-CN"/>
      </w:rPr>
      <w:t xml:space="preserve">  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  <w:lang w:val="en-US" w:eastAsia="zh-CN"/>
      </w:rPr>
      <w:t xml:space="preserve">  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t>—</w:t>
    </w:r>
    <w:r>
      <w:rPr>
        <w:rFonts w:hint="eastAsia" w:asciiTheme="minorEastAsia" w:hAnsiTheme="minorEastAsia" w:cstheme="minorEastAsia"/>
        <w:sz w:val="28"/>
        <w:szCs w:val="28"/>
        <w:lang w:val="en-US" w:eastAsia="zh-CN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68" w:firstLineChars="200"/>
      <w:rPr>
        <w:rFonts w:hint="eastAsia" w:asciiTheme="minorEastAsia" w:hAnsiTheme="minorEastAsia" w:eastAsiaTheme="minorEastAsia" w:cstheme="minorEastAsia"/>
        <w:spacing w:val="-23"/>
        <w:sz w:val="28"/>
        <w:szCs w:val="28"/>
      </w:rPr>
    </w:pP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t>—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  <w:lang w:val="en-US" w:eastAsia="zh-CN"/>
      </w:rPr>
      <w:t xml:space="preserve">  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  <w:lang w:val="en-US" w:eastAsia="zh-CN"/>
      </w:rPr>
      <w:t xml:space="preserve">  </w:t>
    </w:r>
    <w:r>
      <w:rPr>
        <w:rFonts w:hint="eastAsia" w:asciiTheme="minorEastAsia" w:hAnsiTheme="minorEastAsia" w:eastAsiaTheme="minorEastAsia" w:cstheme="minorEastAsia"/>
        <w:spacing w:val="-23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447D"/>
    <w:multiLevelType w:val="singleLevel"/>
    <w:tmpl w:val="5D3E447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03"/>
    <w:rsid w:val="00007D0C"/>
    <w:rsid w:val="0015510E"/>
    <w:rsid w:val="0023116A"/>
    <w:rsid w:val="004035B8"/>
    <w:rsid w:val="00533850"/>
    <w:rsid w:val="005B117A"/>
    <w:rsid w:val="005C4C7D"/>
    <w:rsid w:val="006D4135"/>
    <w:rsid w:val="006E38B6"/>
    <w:rsid w:val="008004FE"/>
    <w:rsid w:val="00903456"/>
    <w:rsid w:val="00962B02"/>
    <w:rsid w:val="00996303"/>
    <w:rsid w:val="00A616F4"/>
    <w:rsid w:val="00AA0C40"/>
    <w:rsid w:val="00B411C1"/>
    <w:rsid w:val="00B422CB"/>
    <w:rsid w:val="00B477E2"/>
    <w:rsid w:val="00C82652"/>
    <w:rsid w:val="00CA0723"/>
    <w:rsid w:val="00D53A1D"/>
    <w:rsid w:val="00D83372"/>
    <w:rsid w:val="00E72CF2"/>
    <w:rsid w:val="00EB5000"/>
    <w:rsid w:val="00F0757B"/>
    <w:rsid w:val="00FF120B"/>
    <w:rsid w:val="026E50CB"/>
    <w:rsid w:val="050E707C"/>
    <w:rsid w:val="07E3181A"/>
    <w:rsid w:val="0D151CA9"/>
    <w:rsid w:val="0DEC7B81"/>
    <w:rsid w:val="11070422"/>
    <w:rsid w:val="117935D5"/>
    <w:rsid w:val="120217AE"/>
    <w:rsid w:val="16082810"/>
    <w:rsid w:val="284D6D4D"/>
    <w:rsid w:val="2A316C54"/>
    <w:rsid w:val="2C52116C"/>
    <w:rsid w:val="2E2E5F4A"/>
    <w:rsid w:val="2F446B03"/>
    <w:rsid w:val="3A2F07C4"/>
    <w:rsid w:val="3DC51CAB"/>
    <w:rsid w:val="44B54FD7"/>
    <w:rsid w:val="4B1204FD"/>
    <w:rsid w:val="4D3516DF"/>
    <w:rsid w:val="508F4B38"/>
    <w:rsid w:val="50AC20E8"/>
    <w:rsid w:val="5B0C0704"/>
    <w:rsid w:val="5CB864E3"/>
    <w:rsid w:val="5F9D3888"/>
    <w:rsid w:val="63D86FB8"/>
    <w:rsid w:val="6D8E4F68"/>
    <w:rsid w:val="719D220F"/>
    <w:rsid w:val="71BA1001"/>
    <w:rsid w:val="76130B69"/>
    <w:rsid w:val="7801190E"/>
    <w:rsid w:val="78D20317"/>
    <w:rsid w:val="7CD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2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3">
    <w:name w:val="文件格式"/>
    <w:qFormat/>
    <w:uiPriority w:val="99"/>
    <w:pPr>
      <w:spacing w:line="460" w:lineRule="atLeast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379</Words>
  <Characters>2163</Characters>
  <Lines>18</Lines>
  <Paragraphs>5</Paragraphs>
  <ScaleCrop>false</ScaleCrop>
  <LinksUpToDate>false</LinksUpToDate>
  <CharactersWithSpaces>2537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2019-01-22T07:27:00Z</dcterms:created>
  <dc:creator>Windows 用户</dc:creator>
  <cp:lastModifiedBy>yinshch</cp:lastModifiedBy>
  <cp:lastPrinted>2020-03-13T02:21:00Z</cp:lastPrinted>
  <dcterms:modified xsi:type="dcterms:W3CDTF">2021-05-28T02:32:06Z</dcterms:modified>
  <dc:title>恭城瑶族自治县绩效考评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