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topLinePunct w:val="0"/>
        <w:bidi w:val="0"/>
        <w:spacing w:before="0" w:beforeLines="0" w:after="0" w:afterLines="0" w:line="600" w:lineRule="exact"/>
        <w:ind w:left="0" w:leftChars="0" w:right="0" w:rightChars="0"/>
        <w:rPr>
          <w:rFonts w:hint="eastAsia" w:ascii="黑体" w:hAnsi="黑体" w:eastAsia="黑体" w:cs="黑体"/>
          <w:kern w:val="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</w:rPr>
        <w:t>附件1</w:t>
      </w:r>
    </w:p>
    <w:p>
      <w:pPr>
        <w:pStyle w:val="5"/>
        <w:keepNext w:val="0"/>
        <w:keepLines w:val="0"/>
        <w:pageBreakBefore w:val="0"/>
        <w:widowControl/>
        <w:kinsoku/>
        <w:wordWrap/>
        <w:topLinePunct w:val="0"/>
        <w:bidi w:val="0"/>
        <w:spacing w:before="0" w:beforeLines="0" w:after="0" w:afterLines="0" w:line="600" w:lineRule="exact"/>
        <w:ind w:left="0" w:leftChars="0" w:right="0" w:rightChars="0"/>
        <w:rPr>
          <w:rFonts w:hint="eastAsia" w:ascii="黑体" w:hAnsi="黑体" w:eastAsia="黑体" w:cs="黑体"/>
          <w:kern w:val="2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topLinePunct w:val="0"/>
        <w:bidi w:val="0"/>
        <w:spacing w:before="0" w:beforeLines="0" w:after="0" w:afterLines="0" w:line="600" w:lineRule="exact"/>
        <w:ind w:left="0" w:leftChars="0" w:right="0" w:right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首届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全国旅游公益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广告作品创作要求</w:t>
      </w:r>
    </w:p>
    <w:p>
      <w:pPr>
        <w:pStyle w:val="5"/>
        <w:keepNext w:val="0"/>
        <w:keepLines w:val="0"/>
        <w:pageBreakBefore w:val="0"/>
        <w:widowControl/>
        <w:kinsoku/>
        <w:wordWrap/>
        <w:topLinePunct w:val="0"/>
        <w:bidi w:val="0"/>
        <w:spacing w:before="0" w:beforeLines="0" w:after="0" w:afterLines="0" w:line="600" w:lineRule="exact"/>
        <w:ind w:left="0" w:leftChars="0" w:right="0" w:right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15"/>
          <w:szCs w:val="15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一、作品创作要求</w:t>
      </w:r>
      <w:r>
        <w:rPr>
          <w:rFonts w:hint="eastAsia" w:ascii="仿宋_GB2312" w:hAnsi="Times New Roman" w:eastAsia="仿宋_GB2312"/>
          <w:color w:val="00000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作品设计制作要聚焦庆祝中国共产党成立100周年、国家战略、文化传承、旅游带动、旅游为民、典型榜样等六大重点方向，充分展现旅游业在促进社会经济发展，提升全社会的旅游意识，促进人的全面发展，提升广大人民群众的幸福感、满足感，激发国内旅游消费潜力等方面取得的经验和成效，力争贴近大众审美情趣，做到思想性、艺术性和观赏性的有机统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（一）遴选活动要遵守法律法规，创作机构和个人应签 署原创承诺，保证对作品拥有完全知识产权，不得抄袭、模 仿。同时授权文化和旅游部、国家广播电视总局用于专家遴选及后续宣传推广等用途。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（二）作品创作要善于从基层一线以及旅游者身边选取题材，情景交融地展示旅游所带来的变化。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提倡风格多样、百花齐放，可将各地民族、文化 和地方特色融入作品中，可选取实景、动漫、MV等多种表现形式，使作品易于被不同受众群体接受和喜好。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（四）作品创作中可积极探索运用现代科技手段，为作品注入现代气息和时尚元素，运用新颖别致的表现形式吸引 人、打动人。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 xml:space="preserve">二、成品类作品技术标准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黑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黑体"/>
          <w:color w:val="000000"/>
          <w:sz w:val="32"/>
          <w:szCs w:val="32"/>
          <w:highlight w:val="none"/>
        </w:rPr>
        <w:t xml:space="preserve">（一）广播类作品。比特率不低于128kbps，位深度不低于16位，采样频率不低于44100hz，格式为MP3或WMA。 </w:t>
      </w:r>
    </w:p>
    <w:p>
      <w:pPr/>
      <w:r>
        <w:rPr>
          <w:rFonts w:hint="eastAsia" w:ascii="仿宋_GB2312" w:hAnsi="Times New Roman" w:eastAsia="仿宋_GB2312" w:cs="黑体"/>
          <w:color w:val="00000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黑体"/>
          <w:color w:val="000000"/>
          <w:sz w:val="32"/>
          <w:szCs w:val="32"/>
          <w:highlight w:val="none"/>
        </w:rPr>
        <w:t>（二）</w:t>
      </w:r>
      <w:r>
        <w:rPr>
          <w:rFonts w:hint="eastAsia" w:ascii="仿宋_GB2312" w:hAnsi="Times New Roman" w:eastAsia="仿宋_GB2312" w:cs="黑体"/>
          <w:color w:val="000000"/>
          <w:sz w:val="32"/>
          <w:szCs w:val="32"/>
          <w:highlight w:val="none"/>
          <w:lang w:bidi="ar-SA"/>
        </w:rPr>
        <w:t>电视</w:t>
      </w:r>
      <w:r>
        <w:rPr>
          <w:rFonts w:hint="eastAsia" w:ascii="仿宋_GB2312" w:hAnsi="Times New Roman" w:eastAsia="仿宋_GB2312" w:cs="黑体"/>
          <w:color w:val="000000"/>
          <w:sz w:val="32"/>
          <w:szCs w:val="32"/>
          <w:highlight w:val="none"/>
          <w:lang w:eastAsia="zh-CN" w:bidi="ar-SA"/>
        </w:rPr>
        <w:t>类作品。</w:t>
      </w:r>
      <w:r>
        <w:rPr>
          <w:rFonts w:hint="eastAsia" w:ascii="仿宋_GB2312" w:hAnsi="Times New Roman" w:eastAsia="仿宋_GB2312" w:cs="黑体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分辨率不低于1280×720（16:9），码率不低于8M/秒，格式为MP4。鼓励各部门制播4K超高清格式作品，4K超高清分辨率为3840×2160（16:9），码率不低于15M/秒，格式为MP4。务必去除或遮盖作品中的台标、栏目标等，配音字幕可保留。动漫作品需转换为通用视频格式后提交，如 AVI、MP4 等（画质参照上述电视类标准）。请勿提交 flv 等动漫格式。 </w:t>
      </w:r>
      <w:r>
        <w:rPr>
          <w:rFonts w:hint="eastAsia" w:ascii="仿宋_GB2312" w:hAnsi="Times New Roman" w:eastAsia="仿宋_GB2312" w:cs="黑体"/>
          <w:color w:val="000000"/>
          <w:kern w:val="2"/>
          <w:sz w:val="32"/>
          <w:szCs w:val="32"/>
          <w:highlight w:val="none"/>
          <w:lang w:val="en-US" w:eastAsia="zh-CN" w:bidi="ar-SA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decorative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思源黑体 CN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jaVu Sans">
    <w:altName w:val="Segoe Print"/>
    <w:panose1 w:val="020B0603030804020204"/>
    <w:charset w:val="00"/>
    <w:family w:val="swiss"/>
    <w:pitch w:val="default"/>
    <w:sig w:usb0="00000000" w:usb1="00000000" w:usb2="0A246029" w:usb3="0400200C" w:csb0="600001FF" w:csb1="D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modern"/>
    <w:pitch w:val="default"/>
    <w:sig w:usb0="00000000" w:usb1="00000000" w:usb2="0A246029" w:usb3="0400200C" w:csb0="600001FF" w:csb1="D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roman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modern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32787"/>
    <w:rsid w:val="0F1327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  <w:style w:type="paragraph" w:customStyle="1" w:styleId="5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2021-04-13T00:42:00Z</dcterms:created>
  <dc:creator>Administrator</dc:creator>
  <cp:lastModifiedBy>Administrator</cp:lastModifiedBy>
  <dcterms:modified xsi:type="dcterms:W3CDTF">2021-04-13T00:42:42Z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