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40" w:lineRule="exact"/>
        <w:ind w:firstLine="482"/>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10" w:name="_GoBack"/>
      <w:bookmarkEnd w:id="10"/>
      <w:r>
        <w:rPr>
          <w:rFonts w:hint="eastAsia" w:ascii="方正小标宋简体" w:hAnsi="方正小标宋简体" w:eastAsia="方正小标宋简体" w:cs="方正小标宋简体"/>
          <w:b w:val="0"/>
          <w:bCs w:val="0"/>
          <w:color w:val="auto"/>
          <w:kern w:val="0"/>
          <w:sz w:val="44"/>
          <w:szCs w:val="44"/>
          <w:lang w:val="en-US" w:eastAsia="zh-CN" w:bidi="ar"/>
        </w:rPr>
        <w:t>全州县2021年广西信息进村入户产业数字化提升工程项目实施方案</w:t>
      </w:r>
    </w:p>
    <w:p>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根据</w:t>
      </w:r>
      <w:r>
        <w:rPr>
          <w:rFonts w:hint="eastAsia" w:ascii="仿宋_GB2312" w:hAnsi="仿宋_GB2312" w:eastAsia="仿宋_GB2312" w:cs="仿宋_GB2312"/>
          <w:b w:val="0"/>
          <w:bCs w:val="0"/>
          <w:color w:val="auto"/>
          <w:sz w:val="32"/>
          <w:szCs w:val="32"/>
        </w:rPr>
        <w:t>《自治区农业农村厅办公室关于印发 2021年广西信息进村人户产业数字化提升工程项目实施方案的通知》桂农厅办发〔2021〕23号</w:t>
      </w:r>
      <w:r>
        <w:rPr>
          <w:rFonts w:hint="eastAsia" w:ascii="仿宋_GB2312" w:hAnsi="仿宋_GB2312" w:eastAsia="仿宋_GB2312" w:cs="仿宋_GB2312"/>
          <w:b w:val="0"/>
          <w:bCs w:val="0"/>
          <w:color w:val="auto"/>
          <w:sz w:val="32"/>
          <w:szCs w:val="32"/>
          <w:lang w:eastAsia="zh-CN"/>
        </w:rPr>
        <w:t>的精神，结合全州县特色农产品产业全州禾花鱼的实际情况，特制定此项目实施方案。</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eastAsia="zh-CN"/>
        </w:rPr>
      </w:pPr>
      <w:r>
        <w:rPr>
          <w:rFonts w:hint="eastAsia" w:ascii="FZHei-B01S" w:hAnsi="FZHei-B01S" w:eastAsia="FZHei-B01S" w:cs="FZHei-B01S"/>
          <w:b w:val="0"/>
          <w:bCs w:val="0"/>
          <w:color w:val="auto"/>
          <w:sz w:val="32"/>
          <w:szCs w:val="32"/>
          <w:lang w:eastAsia="zh-CN"/>
        </w:rPr>
        <w:t>一、建设背景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随着现代农业迅猛发展的同时，充分发挥当地特色农产品的优势，推动当地特色农业的发展，成为当前农业发展的趋势。</w:t>
      </w:r>
      <w:r>
        <w:rPr>
          <w:rFonts w:hint="eastAsia" w:ascii="仿宋_GB2312" w:hAnsi="仿宋_GB2312" w:eastAsia="仿宋_GB2312" w:cs="仿宋_GB2312"/>
          <w:b w:val="0"/>
          <w:bCs w:val="0"/>
          <w:color w:val="auto"/>
          <w:sz w:val="32"/>
          <w:szCs w:val="32"/>
          <w:lang w:eastAsia="zh-CN"/>
        </w:rPr>
        <w:t>越来越多的县通过打造当地特色农产品产业，融合电子商务和信息化，探索和走出来一条脱贫致富</w:t>
      </w:r>
      <w:r>
        <w:rPr>
          <w:rFonts w:hint="eastAsia" w:ascii="仿宋_GB2312" w:hAnsi="仿宋_GB2312" w:eastAsia="仿宋_GB2312" w:cs="仿宋_GB2312"/>
          <w:b w:val="0"/>
          <w:bCs w:val="0"/>
          <w:color w:val="auto"/>
          <w:sz w:val="32"/>
          <w:szCs w:val="32"/>
          <w:lang w:val="en-US" w:eastAsia="zh-CN"/>
        </w:rPr>
        <w:t>道路。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农业农村部门</w:t>
      </w:r>
      <w:r>
        <w:rPr>
          <w:rFonts w:hint="eastAsia" w:ascii="仿宋_GB2312" w:hAnsi="仿宋_GB2312" w:eastAsia="仿宋_GB2312" w:cs="仿宋_GB2312"/>
          <w:b w:val="0"/>
          <w:bCs w:val="0"/>
          <w:color w:val="auto"/>
          <w:sz w:val="32"/>
          <w:szCs w:val="32"/>
          <w:lang w:eastAsia="zh-CN"/>
        </w:rPr>
        <w:t>高度重视</w:t>
      </w:r>
      <w:r>
        <w:rPr>
          <w:rFonts w:hint="eastAsia" w:ascii="仿宋_GB2312" w:hAnsi="仿宋_GB2312" w:eastAsia="仿宋_GB2312" w:cs="仿宋_GB2312"/>
          <w:b w:val="0"/>
          <w:bCs w:val="0"/>
          <w:color w:val="auto"/>
          <w:sz w:val="32"/>
          <w:szCs w:val="32"/>
        </w:rPr>
        <w:t>做好特色农产品发展的服务工作，服务产业生产、加工、仓储、销售、品牌等环节，推动形成完整产业链条。指导当地农民/养殖户充分利用互联网、物联网等新一代信息技术,为农民/种养殖户提供政策指导、生产技术、加工技术、品牌培育、市场营销等服务,带动特色产业提档升级，提高种植当地特色农产品的经济效益和市场竞争力。</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而全州禾花鱼作为全州县的重点特色农产品，其养殖规模较大、养殖技术成熟、产品质量稳定等优势，可作为全州县打造特色农产品的标杆产品，通过产业数字化与信息化的改造、营销模式的探索与创新，打造与强化一个“全州禾花鱼”的县域明星爆品，不断的促进产业的优化与升级。</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eastAsia="zh-CN"/>
        </w:rPr>
      </w:pPr>
      <w:r>
        <w:rPr>
          <w:rFonts w:hint="eastAsia" w:ascii="FZHei-B01S" w:hAnsi="FZHei-B01S" w:eastAsia="FZHei-B01S" w:cs="FZHei-B01S"/>
          <w:b w:val="0"/>
          <w:bCs w:val="0"/>
          <w:color w:val="auto"/>
          <w:sz w:val="32"/>
          <w:szCs w:val="32"/>
          <w:lang w:eastAsia="zh-CN"/>
        </w:rPr>
        <w:t>二、建设思路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习近平新时代中国特色社会主义思想为指导,全面贯彻党的十九大和十九届二中、三中、四中、五中全会精神,牢固树立新发展理念,坚持农业农村优先发展,紧紧围绕数字乡村的决策部署,信息进村入户工程与特色农产品优势区融合发展,助推我区特色优势产业提档升级,助力益农信息社运营提升,促进农民持续增收,为实现乡村振兴提供有力支撑。</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eastAsia="zh-CN"/>
        </w:rPr>
      </w:pPr>
      <w:r>
        <w:rPr>
          <w:rFonts w:hint="eastAsia" w:ascii="FZHei-B01S" w:hAnsi="FZHei-B01S" w:eastAsia="FZHei-B01S" w:cs="FZHei-B01S"/>
          <w:b w:val="0"/>
          <w:bCs w:val="0"/>
          <w:color w:val="auto"/>
          <w:sz w:val="32"/>
          <w:szCs w:val="32"/>
          <w:lang w:eastAsia="zh-CN"/>
        </w:rPr>
        <w:t>三、建设目标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eastAsia="zh-CN"/>
        </w:rPr>
        <w:t>围绕着全县禾花鱼的全流程环节，打造一个全州禾花鱼的</w:t>
      </w:r>
      <w:r>
        <w:rPr>
          <w:rFonts w:hint="eastAsia" w:ascii="仿宋_GB2312" w:hAnsi="仿宋_GB2312" w:eastAsia="仿宋_GB2312" w:cs="仿宋_GB2312"/>
          <w:b w:val="0"/>
          <w:bCs w:val="0"/>
          <w:color w:val="auto"/>
          <w:kern w:val="2"/>
          <w:sz w:val="32"/>
          <w:szCs w:val="32"/>
          <w:lang w:val="en-US" w:eastAsia="zh-CN" w:bidi="ar-SA"/>
        </w:rPr>
        <w:t>可视化全产业链大数据指挥系统,系统实现对禾花鱼的</w:t>
      </w:r>
      <w:r>
        <w:rPr>
          <w:rFonts w:hint="eastAsia" w:ascii="仿宋_GB2312" w:hAnsi="仿宋_GB2312" w:eastAsia="仿宋_GB2312" w:cs="仿宋_GB2312"/>
          <w:b w:val="0"/>
          <w:bCs w:val="0"/>
          <w:color w:val="auto"/>
          <w:kern w:val="0"/>
          <w:sz w:val="32"/>
          <w:szCs w:val="32"/>
          <w:lang w:val="en-US" w:eastAsia="zh-CN" w:bidi="ar"/>
        </w:rPr>
        <w:t>生产、加工、销售、流通等产业链环节的数据采集分析预警，更好服务禾花鱼的养殖、加工、流通等主体，推动</w:t>
      </w:r>
      <w:r>
        <w:rPr>
          <w:rFonts w:hint="eastAsia" w:ascii="仿宋_GB2312" w:hAnsi="仿宋_GB2312" w:eastAsia="仿宋_GB2312" w:cs="仿宋_GB2312"/>
          <w:b w:val="0"/>
          <w:bCs w:val="0"/>
          <w:color w:val="auto"/>
          <w:sz w:val="32"/>
          <w:szCs w:val="32"/>
          <w:lang w:eastAsia="zh-CN"/>
        </w:rPr>
        <w:t>全县禾花鱼</w:t>
      </w:r>
      <w:r>
        <w:rPr>
          <w:rFonts w:hint="eastAsia" w:ascii="仿宋_GB2312" w:hAnsi="仿宋_GB2312" w:eastAsia="仿宋_GB2312" w:cs="仿宋_GB2312"/>
          <w:b w:val="0"/>
          <w:bCs w:val="0"/>
          <w:color w:val="auto"/>
          <w:kern w:val="0"/>
          <w:sz w:val="32"/>
          <w:szCs w:val="32"/>
          <w:lang w:val="en-US" w:eastAsia="zh-CN" w:bidi="ar"/>
        </w:rPr>
        <w:t>产业的信息化改造及发展，促进产业升级与降本增效。不断强化全州禾花鱼特色产业信息化升级的配套设施建设与服务提升，开展全州禾花鱼的品牌打造、运营与产销对接。在销售过程中不断探索全州禾花鱼营销推广新模式，通过网络带货培训、带货直播、电子商务等形式打开品牌宣传与销售的通路。进而实现</w:t>
      </w:r>
      <w:r>
        <w:rPr>
          <w:rFonts w:hint="eastAsia" w:ascii="仿宋_GB2312" w:hAnsi="仿宋_GB2312" w:eastAsia="仿宋_GB2312" w:cs="仿宋_GB2312"/>
          <w:b w:val="0"/>
          <w:bCs w:val="0"/>
          <w:color w:val="auto"/>
          <w:kern w:val="2"/>
          <w:sz w:val="32"/>
          <w:szCs w:val="32"/>
          <w:lang w:val="en-US" w:eastAsia="zh-CN" w:bidi="ar-SA"/>
        </w:rPr>
        <w:t>全州禾花鱼产品品牌影响力有较大提升,产销对接成效明显,农产品上行在全区位居前列。</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eastAsia="zh-CN"/>
        </w:rPr>
      </w:pPr>
      <w:r>
        <w:rPr>
          <w:rFonts w:hint="eastAsia" w:ascii="FZHei-B01S" w:hAnsi="FZHei-B01S" w:eastAsia="FZHei-B01S" w:cs="FZHei-B01S"/>
          <w:b w:val="0"/>
          <w:bCs w:val="0"/>
          <w:color w:val="auto"/>
          <w:sz w:val="32"/>
          <w:szCs w:val="32"/>
          <w:lang w:eastAsia="zh-CN"/>
        </w:rPr>
        <w:t>四、建设原则</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（一）坚持服务产业</w:t>
      </w:r>
    </w:p>
    <w:p>
      <w:pPr>
        <w:pStyle w:val="8"/>
        <w:pageBreakBefore w:val="0"/>
        <w:kinsoku/>
        <w:wordWrap/>
        <w:overflowPunct/>
        <w:topLinePunct w:val="0"/>
        <w:autoSpaceDE/>
        <w:autoSpaceDN/>
        <w:bidi w:val="0"/>
        <w:adjustRightInd w:val="0"/>
        <w:snapToGrid w:val="0"/>
        <w:spacing w:line="560" w:lineRule="exact"/>
        <w:ind w:right="113" w:firstLine="62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5"/>
          <w:sz w:val="32"/>
          <w:szCs w:val="32"/>
        </w:rPr>
        <w:t>与</w:t>
      </w:r>
      <w:r>
        <w:rPr>
          <w:rFonts w:hint="eastAsia" w:ascii="仿宋_GB2312" w:hAnsi="仿宋_GB2312" w:eastAsia="仿宋_GB2312" w:cs="仿宋_GB2312"/>
          <w:b w:val="0"/>
          <w:bCs w:val="0"/>
          <w:color w:val="auto"/>
          <w:spacing w:val="-5"/>
          <w:sz w:val="32"/>
          <w:szCs w:val="32"/>
          <w:lang w:eastAsia="zh-CN"/>
        </w:rPr>
        <w:t>全州禾花鱼</w:t>
      </w:r>
      <w:r>
        <w:rPr>
          <w:rFonts w:hint="eastAsia" w:ascii="仿宋_GB2312" w:hAnsi="仿宋_GB2312" w:eastAsia="仿宋_GB2312" w:cs="仿宋_GB2312"/>
          <w:b w:val="0"/>
          <w:bCs w:val="0"/>
          <w:color w:val="auto"/>
          <w:spacing w:val="-5"/>
          <w:sz w:val="32"/>
          <w:szCs w:val="32"/>
        </w:rPr>
        <w:t>农业产业充分结合, 与农民专业合作社、家庭农场、农业企业等新型经营主体以及产</w:t>
      </w:r>
      <w:r>
        <w:rPr>
          <w:rFonts w:hint="eastAsia" w:ascii="仿宋_GB2312" w:hAnsi="仿宋_GB2312" w:eastAsia="仿宋_GB2312" w:cs="仿宋_GB2312"/>
          <w:b w:val="0"/>
          <w:bCs w:val="0"/>
          <w:color w:val="auto"/>
          <w:spacing w:val="-5"/>
          <w:w w:val="105"/>
          <w:position w:val="1"/>
          <w:sz w:val="32"/>
          <w:szCs w:val="32"/>
        </w:rPr>
        <w:t>地市场</w:t>
      </w:r>
      <w:r>
        <w:rPr>
          <w:rFonts w:hint="eastAsia" w:ascii="仿宋_GB2312" w:hAnsi="仿宋_GB2312" w:eastAsia="仿宋_GB2312" w:cs="仿宋_GB2312"/>
          <w:b w:val="0"/>
          <w:bCs w:val="0"/>
          <w:color w:val="auto"/>
          <w:spacing w:val="-5"/>
          <w:w w:val="105"/>
          <w:position w:val="1"/>
          <w:sz w:val="32"/>
          <w:szCs w:val="32"/>
          <w:lang w:eastAsia="zh-CN"/>
        </w:rPr>
        <w:t>、</w:t>
      </w:r>
      <w:r>
        <w:rPr>
          <w:rFonts w:hint="eastAsia" w:ascii="仿宋_GB2312" w:hAnsi="仿宋_GB2312" w:eastAsia="仿宋_GB2312" w:cs="仿宋_GB2312"/>
          <w:b w:val="0"/>
          <w:bCs w:val="0"/>
          <w:color w:val="auto"/>
          <w:spacing w:val="-5"/>
          <w:w w:val="105"/>
          <w:position w:val="1"/>
          <w:sz w:val="32"/>
          <w:szCs w:val="32"/>
          <w:lang w:val="en-US" w:eastAsia="zh-CN"/>
        </w:rPr>
        <w:t>产</w:t>
      </w:r>
      <w:r>
        <w:rPr>
          <w:rFonts w:hint="eastAsia" w:ascii="仿宋_GB2312" w:hAnsi="仿宋_GB2312" w:eastAsia="仿宋_GB2312" w:cs="仿宋_GB2312"/>
          <w:b w:val="0"/>
          <w:bCs w:val="0"/>
          <w:color w:val="auto"/>
          <w:spacing w:val="-5"/>
          <w:w w:val="105"/>
          <w:position w:val="1"/>
          <w:sz w:val="32"/>
          <w:szCs w:val="32"/>
        </w:rPr>
        <w:t>地仓</w:t>
      </w:r>
      <w:r>
        <w:rPr>
          <w:rFonts w:hint="eastAsia" w:ascii="仿宋_GB2312" w:hAnsi="仿宋_GB2312" w:eastAsia="仿宋_GB2312" w:cs="仿宋_GB2312"/>
          <w:b w:val="0"/>
          <w:bCs w:val="0"/>
          <w:color w:val="auto"/>
          <w:spacing w:val="-5"/>
          <w:w w:val="105"/>
          <w:position w:val="1"/>
          <w:sz w:val="32"/>
          <w:szCs w:val="32"/>
          <w:lang w:val="en-US" w:eastAsia="zh-CN"/>
        </w:rPr>
        <w:t>储</w:t>
      </w:r>
      <w:r>
        <w:rPr>
          <w:rFonts w:hint="eastAsia" w:ascii="仿宋_GB2312" w:hAnsi="仿宋_GB2312" w:eastAsia="仿宋_GB2312" w:cs="仿宋_GB2312"/>
          <w:b w:val="0"/>
          <w:bCs w:val="0"/>
          <w:color w:val="auto"/>
          <w:spacing w:val="-5"/>
          <w:w w:val="105"/>
          <w:position w:val="1"/>
          <w:sz w:val="32"/>
          <w:szCs w:val="32"/>
        </w:rPr>
        <w:t>等充分融合</w:t>
      </w:r>
      <w:r>
        <w:rPr>
          <w:rFonts w:hint="eastAsia" w:ascii="仿宋_GB2312" w:hAnsi="仿宋_GB2312" w:eastAsia="仿宋_GB2312" w:cs="仿宋_GB2312"/>
          <w:b w:val="0"/>
          <w:bCs w:val="0"/>
          <w:color w:val="auto"/>
          <w:spacing w:val="-82"/>
          <w:w w:val="125"/>
          <w:position w:val="1"/>
          <w:sz w:val="32"/>
          <w:szCs w:val="32"/>
        </w:rPr>
        <w:t>,</w:t>
      </w:r>
      <w:r>
        <w:rPr>
          <w:rFonts w:hint="eastAsia" w:ascii="仿宋_GB2312" w:hAnsi="仿宋_GB2312" w:eastAsia="仿宋_GB2312" w:cs="仿宋_GB2312"/>
          <w:b w:val="0"/>
          <w:bCs w:val="0"/>
          <w:color w:val="auto"/>
          <w:spacing w:val="-5"/>
          <w:w w:val="105"/>
          <w:position w:val="1"/>
          <w:sz w:val="32"/>
          <w:szCs w:val="32"/>
        </w:rPr>
        <w:t>服务</w:t>
      </w:r>
      <w:r>
        <w:rPr>
          <w:rFonts w:hint="eastAsia" w:ascii="仿宋_GB2312" w:hAnsi="仿宋_GB2312" w:eastAsia="仿宋_GB2312" w:cs="仿宋_GB2312"/>
          <w:b w:val="0"/>
          <w:bCs w:val="0"/>
          <w:color w:val="auto"/>
          <w:spacing w:val="-5"/>
          <w:w w:val="105"/>
          <w:position w:val="1"/>
          <w:sz w:val="32"/>
          <w:szCs w:val="32"/>
          <w:lang w:eastAsia="zh-CN"/>
        </w:rPr>
        <w:t>禾花鱼</w:t>
      </w:r>
      <w:r>
        <w:rPr>
          <w:rFonts w:hint="eastAsia" w:ascii="仿宋_GB2312" w:hAnsi="仿宋_GB2312" w:eastAsia="仿宋_GB2312" w:cs="仿宋_GB2312"/>
          <w:b w:val="0"/>
          <w:bCs w:val="0"/>
          <w:color w:val="auto"/>
          <w:spacing w:val="-5"/>
          <w:w w:val="105"/>
          <w:position w:val="1"/>
          <w:sz w:val="32"/>
          <w:szCs w:val="32"/>
        </w:rPr>
        <w:t>产业生产、</w:t>
      </w:r>
      <w:r>
        <w:rPr>
          <w:rFonts w:hint="eastAsia" w:ascii="仿宋_GB2312" w:hAnsi="仿宋_GB2312" w:eastAsia="仿宋_GB2312" w:cs="仿宋_GB2312"/>
          <w:b w:val="0"/>
          <w:bCs w:val="0"/>
          <w:color w:val="auto"/>
          <w:spacing w:val="-5"/>
          <w:w w:val="105"/>
          <w:sz w:val="32"/>
          <w:szCs w:val="32"/>
        </w:rPr>
        <w:t>加工、仓储、销售、品牌等各环节</w:t>
      </w:r>
      <w:r>
        <w:rPr>
          <w:rFonts w:hint="eastAsia" w:ascii="仿宋_GB2312" w:hAnsi="仿宋_GB2312" w:eastAsia="仿宋_GB2312" w:cs="仿宋_GB2312"/>
          <w:b w:val="0"/>
          <w:bCs w:val="0"/>
          <w:color w:val="auto"/>
          <w:w w:val="185"/>
          <w:sz w:val="32"/>
          <w:szCs w:val="32"/>
        </w:rPr>
        <w:t>,</w:t>
      </w:r>
      <w:r>
        <w:rPr>
          <w:rFonts w:hint="eastAsia" w:ascii="仿宋_GB2312" w:hAnsi="仿宋_GB2312" w:eastAsia="仿宋_GB2312" w:cs="仿宋_GB2312"/>
          <w:b w:val="0"/>
          <w:bCs w:val="0"/>
          <w:color w:val="auto"/>
          <w:spacing w:val="-4"/>
          <w:w w:val="105"/>
          <w:sz w:val="32"/>
          <w:szCs w:val="32"/>
        </w:rPr>
        <w:t>推动形成完整产业链条</w:t>
      </w:r>
      <w:r>
        <w:rPr>
          <w:rFonts w:hint="eastAsia" w:ascii="仿宋_GB2312" w:hAnsi="仿宋_GB2312" w:eastAsia="仿宋_GB2312" w:cs="仿宋_GB2312"/>
          <w:b w:val="0"/>
          <w:bCs w:val="0"/>
          <w:color w:val="auto"/>
          <w:spacing w:val="-4"/>
          <w:w w:val="105"/>
          <w:sz w:val="32"/>
          <w:szCs w:val="32"/>
          <w:lang w:eastAsia="zh-CN"/>
        </w:rPr>
        <w:t>，形成一站式的全流程信息化改造与升级</w:t>
      </w:r>
      <w:r>
        <w:rPr>
          <w:rFonts w:hint="eastAsia" w:ascii="仿宋_GB2312" w:hAnsi="仿宋_GB2312" w:eastAsia="仿宋_GB2312" w:cs="仿宋_GB2312"/>
          <w:b w:val="0"/>
          <w:bCs w:val="0"/>
          <w:color w:val="auto"/>
          <w:spacing w:val="-4"/>
          <w:w w:val="105"/>
          <w:sz w:val="32"/>
          <w:szCs w:val="32"/>
        </w:rPr>
        <w:t>。</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坚持服务农民</w:t>
      </w:r>
    </w:p>
    <w:p>
      <w:pPr>
        <w:pStyle w:val="8"/>
        <w:pageBreakBefore w:val="0"/>
        <w:kinsoku/>
        <w:wordWrap/>
        <w:overflowPunct/>
        <w:topLinePunct w:val="0"/>
        <w:autoSpaceDE/>
        <w:autoSpaceDN/>
        <w:bidi w:val="0"/>
        <w:adjustRightInd w:val="0"/>
        <w:snapToGrid w:val="0"/>
        <w:spacing w:line="560" w:lineRule="exact"/>
        <w:ind w:right="296"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w w:val="105"/>
          <w:sz w:val="32"/>
          <w:szCs w:val="32"/>
        </w:rPr>
        <w:t>充分利用互联网、物联网等新一代</w:t>
      </w:r>
      <w:r>
        <w:rPr>
          <w:rFonts w:hint="eastAsia" w:ascii="仿宋_GB2312" w:hAnsi="仿宋_GB2312" w:eastAsia="仿宋_GB2312" w:cs="仿宋_GB2312"/>
          <w:b w:val="0"/>
          <w:bCs w:val="0"/>
          <w:color w:val="auto"/>
          <w:sz w:val="32"/>
          <w:szCs w:val="32"/>
        </w:rPr>
        <w:t>信息技术,为</w:t>
      </w:r>
      <w:r>
        <w:rPr>
          <w:rFonts w:hint="eastAsia" w:ascii="仿宋_GB2312" w:hAnsi="仿宋_GB2312" w:eastAsia="仿宋_GB2312" w:cs="仿宋_GB2312"/>
          <w:b w:val="0"/>
          <w:bCs w:val="0"/>
          <w:color w:val="auto"/>
          <w:sz w:val="32"/>
          <w:szCs w:val="32"/>
          <w:lang w:eastAsia="zh-CN"/>
        </w:rPr>
        <w:t>全州禾花鱼养殖、生产、加工、流通、销售等经营主体</w:t>
      </w:r>
      <w:r>
        <w:rPr>
          <w:rFonts w:hint="eastAsia" w:ascii="仿宋_GB2312" w:hAnsi="仿宋_GB2312" w:eastAsia="仿宋_GB2312" w:cs="仿宋_GB2312"/>
          <w:b w:val="0"/>
          <w:bCs w:val="0"/>
          <w:color w:val="auto"/>
          <w:sz w:val="32"/>
          <w:szCs w:val="32"/>
        </w:rPr>
        <w:t>提供政策指导、生产技术、加工技术、品牌</w:t>
      </w:r>
      <w:r>
        <w:rPr>
          <w:rFonts w:hint="eastAsia" w:ascii="仿宋_GB2312" w:hAnsi="仿宋_GB2312" w:eastAsia="仿宋_GB2312" w:cs="仿宋_GB2312"/>
          <w:b w:val="0"/>
          <w:bCs w:val="0"/>
          <w:color w:val="auto"/>
          <w:w w:val="105"/>
          <w:sz w:val="32"/>
          <w:szCs w:val="32"/>
        </w:rPr>
        <w:t>培育、市场营销等服务</w:t>
      </w:r>
      <w:r>
        <w:rPr>
          <w:rFonts w:hint="eastAsia" w:ascii="仿宋_GB2312" w:hAnsi="仿宋_GB2312" w:eastAsia="仿宋_GB2312" w:cs="仿宋_GB2312"/>
          <w:b w:val="0"/>
          <w:bCs w:val="0"/>
          <w:color w:val="auto"/>
          <w:w w:val="185"/>
          <w:sz w:val="32"/>
          <w:szCs w:val="32"/>
        </w:rPr>
        <w:t>,</w:t>
      </w:r>
      <w:r>
        <w:rPr>
          <w:rFonts w:hint="eastAsia" w:ascii="仿宋_GB2312" w:hAnsi="仿宋_GB2312" w:eastAsia="仿宋_GB2312" w:cs="仿宋_GB2312"/>
          <w:b w:val="0"/>
          <w:bCs w:val="0"/>
          <w:color w:val="auto"/>
          <w:w w:val="105"/>
          <w:sz w:val="32"/>
          <w:szCs w:val="32"/>
        </w:rPr>
        <w:t>带动</w:t>
      </w:r>
      <w:r>
        <w:rPr>
          <w:rFonts w:hint="eastAsia" w:ascii="仿宋_GB2312" w:hAnsi="仿宋_GB2312" w:eastAsia="仿宋_GB2312" w:cs="仿宋_GB2312"/>
          <w:b w:val="0"/>
          <w:bCs w:val="0"/>
          <w:color w:val="auto"/>
          <w:sz w:val="32"/>
          <w:szCs w:val="32"/>
          <w:lang w:eastAsia="zh-CN"/>
        </w:rPr>
        <w:t>全州禾花鱼</w:t>
      </w:r>
      <w:r>
        <w:rPr>
          <w:rFonts w:hint="eastAsia" w:ascii="仿宋_GB2312" w:hAnsi="仿宋_GB2312" w:eastAsia="仿宋_GB2312" w:cs="仿宋_GB2312"/>
          <w:b w:val="0"/>
          <w:bCs w:val="0"/>
          <w:color w:val="auto"/>
          <w:w w:val="105"/>
          <w:sz w:val="32"/>
          <w:szCs w:val="32"/>
        </w:rPr>
        <w:t>产业提档升级。</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（三）坚持建管用结合</w:t>
      </w:r>
    </w:p>
    <w:p>
      <w:pPr>
        <w:pStyle w:val="8"/>
        <w:pageBreakBefore w:val="0"/>
        <w:kinsoku/>
        <w:wordWrap/>
        <w:overflowPunct/>
        <w:topLinePunct w:val="0"/>
        <w:autoSpaceDE/>
        <w:autoSpaceDN/>
        <w:bidi w:val="0"/>
        <w:adjustRightInd w:val="0"/>
        <w:snapToGrid w:val="0"/>
        <w:spacing w:line="560" w:lineRule="exact"/>
        <w:ind w:right="252" w:firstLine="672" w:firstLineChars="200"/>
        <w:textAlignment w:val="auto"/>
        <w:rPr>
          <w:rFonts w:hint="eastAsia" w:ascii="仿宋_GB2312" w:hAnsi="仿宋_GB2312" w:eastAsia="仿宋_GB2312" w:cs="仿宋_GB2312"/>
          <w:b w:val="0"/>
          <w:bCs w:val="0"/>
          <w:color w:val="auto"/>
          <w:spacing w:val="13"/>
          <w:sz w:val="32"/>
          <w:szCs w:val="32"/>
          <w:lang w:eastAsia="zh-CN"/>
        </w:rPr>
      </w:pPr>
      <w:r>
        <w:rPr>
          <w:rFonts w:hint="eastAsia" w:ascii="仿宋_GB2312" w:hAnsi="仿宋_GB2312" w:eastAsia="仿宋_GB2312" w:cs="仿宋_GB2312"/>
          <w:b w:val="0"/>
          <w:bCs w:val="0"/>
          <w:color w:val="auto"/>
          <w:w w:val="105"/>
          <w:sz w:val="32"/>
          <w:szCs w:val="32"/>
          <w:lang w:eastAsia="zh-CN"/>
        </w:rPr>
        <w:t>建立</w:t>
      </w:r>
      <w:r>
        <w:rPr>
          <w:rFonts w:hint="eastAsia" w:ascii="仿宋_GB2312" w:hAnsi="仿宋_GB2312" w:eastAsia="仿宋_GB2312" w:cs="仿宋_GB2312"/>
          <w:b w:val="0"/>
          <w:bCs w:val="0"/>
          <w:color w:val="auto"/>
          <w:spacing w:val="13"/>
          <w:sz w:val="32"/>
          <w:szCs w:val="32"/>
          <w:lang w:eastAsia="zh-CN"/>
        </w:rPr>
        <w:t>项目建设小组，分管领导任组长，建设小组负责日常建设</w:t>
      </w:r>
      <w:r>
        <w:rPr>
          <w:rFonts w:hint="eastAsia" w:ascii="仿宋_GB2312" w:hAnsi="仿宋_GB2312" w:eastAsia="仿宋_GB2312" w:cs="仿宋_GB2312"/>
          <w:b w:val="0"/>
          <w:bCs w:val="0"/>
          <w:color w:val="auto"/>
          <w:spacing w:val="13"/>
          <w:sz w:val="32"/>
          <w:szCs w:val="32"/>
        </w:rPr>
        <w:t>的指导、验收、管理和</w:t>
      </w:r>
      <w:r>
        <w:rPr>
          <w:rFonts w:hint="eastAsia" w:ascii="仿宋_GB2312" w:hAnsi="仿宋_GB2312" w:eastAsia="仿宋_GB2312" w:cs="仿宋_GB2312"/>
          <w:b w:val="0"/>
          <w:bCs w:val="0"/>
          <w:color w:val="auto"/>
          <w:spacing w:val="13"/>
          <w:sz w:val="32"/>
          <w:szCs w:val="32"/>
          <w:lang w:eastAsia="zh-CN"/>
        </w:rPr>
        <w:t>运营，在具体建设中因地制宜，注重成效。</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（四）坚持模式创新</w:t>
      </w:r>
    </w:p>
    <w:p>
      <w:pPr>
        <w:pStyle w:val="8"/>
        <w:pageBreakBefore w:val="0"/>
        <w:kinsoku/>
        <w:wordWrap/>
        <w:overflowPunct/>
        <w:topLinePunct w:val="0"/>
        <w:autoSpaceDE/>
        <w:autoSpaceDN/>
        <w:bidi w:val="0"/>
        <w:adjustRightInd w:val="0"/>
        <w:snapToGrid w:val="0"/>
        <w:spacing w:line="560" w:lineRule="exact"/>
        <w:ind w:right="252" w:firstLine="69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pacing w:val="13"/>
          <w:sz w:val="32"/>
          <w:szCs w:val="32"/>
          <w:lang w:eastAsia="zh-CN"/>
        </w:rPr>
        <w:t>在基础设施建设完善的同时注重软性服务的配套与模式的创新，结合禾花鱼的特征开创“全州”模式的特色农产品上行之路。</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eastAsia="zh-CN"/>
        </w:rPr>
      </w:pPr>
      <w:r>
        <w:rPr>
          <w:rFonts w:hint="eastAsia" w:ascii="FZHei-B01S" w:hAnsi="FZHei-B01S" w:eastAsia="FZHei-B01S" w:cs="FZHei-B01S"/>
          <w:b w:val="0"/>
          <w:bCs w:val="0"/>
          <w:color w:val="auto"/>
          <w:sz w:val="32"/>
          <w:szCs w:val="32"/>
          <w:lang w:eastAsia="zh-CN"/>
        </w:rPr>
        <w:t>五、项目建设内容</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（一）建设可视化</w:t>
      </w:r>
      <w:r>
        <w:rPr>
          <w:rFonts w:hint="eastAsia" w:ascii="仿宋_GB2312" w:hAnsi="仿宋_GB2312" w:eastAsia="仿宋_GB2312" w:cs="仿宋_GB2312"/>
          <w:b/>
          <w:bCs/>
          <w:color w:val="auto"/>
          <w:sz w:val="32"/>
          <w:szCs w:val="32"/>
        </w:rPr>
        <w:t>全产业链大数据指挥系统</w:t>
      </w:r>
    </w:p>
    <w:p>
      <w:pPr>
        <w:pStyle w:val="5"/>
        <w:pageBreakBefore w:val="0"/>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1、建设内容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建立全州</w:t>
      </w:r>
      <w:r>
        <w:rPr>
          <w:rFonts w:hint="eastAsia" w:ascii="仿宋_GB2312" w:hAnsi="仿宋_GB2312" w:eastAsia="仿宋_GB2312" w:cs="仿宋_GB2312"/>
          <w:b w:val="0"/>
          <w:bCs w:val="0"/>
          <w:color w:val="auto"/>
          <w:sz w:val="32"/>
          <w:szCs w:val="32"/>
        </w:rPr>
        <w:t>特色优势农产品可视化全产业链大数据指挥系统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具体功能见附件一</w:t>
      </w:r>
      <w:r>
        <w:rPr>
          <w:rFonts w:hint="eastAsia" w:ascii="仿宋_GB2312" w:hAnsi="仿宋_GB2312" w:eastAsia="仿宋_GB2312" w:cs="仿宋_GB2312"/>
          <w:b w:val="0"/>
          <w:bCs w:val="0"/>
          <w:color w:val="auto"/>
          <w:sz w:val="32"/>
          <w:szCs w:val="32"/>
          <w:lang w:eastAsia="zh-CN"/>
        </w:rPr>
        <w:t>），在系统开发与运行的基础上，</w:t>
      </w:r>
      <w:r>
        <w:rPr>
          <w:rFonts w:hint="eastAsia" w:ascii="仿宋_GB2312" w:hAnsi="仿宋_GB2312" w:eastAsia="仿宋_GB2312" w:cs="仿宋_GB2312"/>
          <w:b w:val="0"/>
          <w:bCs w:val="0"/>
          <w:color w:val="auto"/>
          <w:sz w:val="32"/>
          <w:szCs w:val="32"/>
        </w:rPr>
        <w:t>结合当地禾花鱼养殖情况，禾花鱼的养殖加工</w:t>
      </w:r>
      <w:r>
        <w:rPr>
          <w:rFonts w:hint="eastAsia" w:ascii="仿宋_GB2312" w:hAnsi="仿宋_GB2312" w:eastAsia="仿宋_GB2312" w:cs="仿宋_GB2312"/>
          <w:b w:val="0"/>
          <w:bCs w:val="0"/>
          <w:color w:val="auto"/>
          <w:sz w:val="32"/>
          <w:szCs w:val="32"/>
          <w:lang w:val="en-US" w:eastAsia="zh-CN"/>
        </w:rPr>
        <w:t>仓储</w:t>
      </w:r>
      <w:r>
        <w:rPr>
          <w:rFonts w:hint="eastAsia" w:ascii="仿宋_GB2312" w:hAnsi="仿宋_GB2312" w:eastAsia="仿宋_GB2312" w:cs="仿宋_GB2312"/>
          <w:b w:val="0"/>
          <w:bCs w:val="0"/>
          <w:color w:val="auto"/>
          <w:sz w:val="32"/>
          <w:szCs w:val="32"/>
        </w:rPr>
        <w:t>销售等全过程可建设或完善一套特色优势农产品的可视化全产业链大数据指挥系统，形成当地发展优势特色农产品的</w:t>
      </w:r>
      <w:r>
        <w:rPr>
          <w:rFonts w:hint="eastAsia" w:ascii="仿宋_GB2312" w:hAnsi="仿宋_GB2312" w:eastAsia="仿宋_GB2312" w:cs="仿宋_GB2312"/>
          <w:b w:val="0"/>
          <w:bCs w:val="0"/>
          <w:color w:val="auto"/>
          <w:sz w:val="32"/>
          <w:szCs w:val="32"/>
          <w:lang w:eastAsia="zh-CN"/>
        </w:rPr>
        <w:t>标杆。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建设农产品可视化全产业链大数据指挥系统，实现特色农产品的生产、加工、销售、流通等产业链环节的数据采集分析预警，更好服务生产经营主体，推动当地特色农产品产业发展</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lang w:eastAsia="zh-CN"/>
        </w:rPr>
        <w:t>禾花鱼生产全流程</w:t>
      </w:r>
      <w:r>
        <w:rPr>
          <w:rFonts w:hint="eastAsia" w:ascii="仿宋_GB2312" w:hAnsi="仿宋_GB2312" w:eastAsia="仿宋_GB2312" w:cs="仿宋_GB2312"/>
          <w:b w:val="0"/>
          <w:bCs w:val="0"/>
          <w:color w:val="auto"/>
          <w:sz w:val="32"/>
          <w:szCs w:val="32"/>
        </w:rPr>
        <w:t>监控</w:t>
      </w:r>
      <w:r>
        <w:rPr>
          <w:rFonts w:hint="eastAsia" w:ascii="仿宋_GB2312" w:hAnsi="仿宋_GB2312" w:eastAsia="仿宋_GB2312" w:cs="仿宋_GB2312"/>
          <w:b w:val="0"/>
          <w:bCs w:val="0"/>
          <w:color w:val="auto"/>
          <w:sz w:val="32"/>
          <w:szCs w:val="32"/>
          <w:lang w:eastAsia="zh-CN"/>
        </w:rPr>
        <w:t>系统</w:t>
      </w:r>
      <w:r>
        <w:rPr>
          <w:rFonts w:hint="eastAsia" w:ascii="仿宋_GB2312" w:hAnsi="仿宋_GB2312" w:eastAsia="仿宋_GB2312" w:cs="仿宋_GB2312"/>
          <w:b w:val="0"/>
          <w:bCs w:val="0"/>
          <w:color w:val="auto"/>
          <w:sz w:val="32"/>
          <w:szCs w:val="32"/>
        </w:rPr>
        <w:t>：对于禾花鱼养殖、加工、仓储场所等安装监控设备，实时监控了解禾花鱼养殖过程。安装在线环境监测系统，实时获知养殖、加工、仓储等场所的温度、湿度、光照、PH值等参数数据，为研究禾花鱼养殖提供研究数据</w:t>
      </w:r>
      <w:r>
        <w:rPr>
          <w:rFonts w:hint="eastAsia" w:ascii="仿宋_GB2312" w:hAnsi="仿宋_GB2312" w:eastAsia="仿宋_GB2312" w:cs="仿宋_GB2312"/>
          <w:b w:val="0"/>
          <w:bCs w:val="0"/>
          <w:color w:val="auto"/>
          <w:sz w:val="32"/>
          <w:szCs w:val="32"/>
          <w:lang w:eastAsia="zh-CN"/>
        </w:rPr>
        <w:t>，计划在全区布点不少于</w:t>
      </w:r>
      <w:r>
        <w:rPr>
          <w:rFonts w:hint="eastAsia" w:ascii="仿宋_GB2312" w:hAnsi="仿宋_GB2312" w:eastAsia="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建设特色农产品可视化全产业链大数据指挥中心/运营中心，所有现场实时监控视频数据、环境监测数据统一传输到指挥/运营中心，对所有实时数据进行统一管理，网络视频监控的现场记录可以加强对养殖种植现场的监督，管理层可按不同权限级别观看所监看的图像，可以随时随地通过网络连接到种植养殖现场的视频监控系统进行监控查看。</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pacing w:val="-9"/>
          <w:sz w:val="32"/>
          <w:szCs w:val="32"/>
        </w:rPr>
        <w:t>村级益农信息社服务站运</w:t>
      </w:r>
      <w:r>
        <w:rPr>
          <w:rFonts w:hint="eastAsia" w:ascii="仿宋_GB2312" w:hAnsi="仿宋_GB2312" w:eastAsia="仿宋_GB2312" w:cs="仿宋_GB2312"/>
          <w:b w:val="0"/>
          <w:bCs w:val="0"/>
          <w:color w:val="auto"/>
          <w:spacing w:val="-2"/>
          <w:w w:val="100"/>
          <w:sz w:val="32"/>
          <w:szCs w:val="32"/>
        </w:rPr>
        <w:t>营监控</w:t>
      </w:r>
      <w:r>
        <w:rPr>
          <w:rFonts w:hint="eastAsia" w:ascii="仿宋_GB2312" w:hAnsi="仿宋_GB2312" w:eastAsia="仿宋_GB2312" w:cs="仿宋_GB2312"/>
          <w:b w:val="0"/>
          <w:bCs w:val="0"/>
          <w:color w:val="auto"/>
          <w:spacing w:val="-2"/>
          <w:w w:val="100"/>
          <w:sz w:val="32"/>
          <w:szCs w:val="32"/>
          <w:lang w:eastAsia="zh-CN"/>
        </w:rPr>
        <w:t>：根据调研选取</w:t>
      </w:r>
      <w:r>
        <w:rPr>
          <w:rFonts w:hint="eastAsia" w:ascii="仿宋_GB2312" w:hAnsi="仿宋_GB2312" w:eastAsia="仿宋_GB2312" w:cs="仿宋_GB2312"/>
          <w:b w:val="0"/>
          <w:bCs w:val="0"/>
          <w:color w:val="auto"/>
          <w:spacing w:val="-9"/>
          <w:sz w:val="32"/>
          <w:szCs w:val="32"/>
        </w:rPr>
        <w:t>村级益农信息社服务站</w:t>
      </w:r>
      <w:r>
        <w:rPr>
          <w:rFonts w:hint="eastAsia" w:ascii="仿宋_GB2312" w:hAnsi="仿宋_GB2312" w:eastAsia="仿宋_GB2312" w:cs="仿宋_GB2312"/>
          <w:b w:val="0"/>
          <w:bCs w:val="0"/>
          <w:color w:val="auto"/>
          <w:spacing w:val="-9"/>
          <w:sz w:val="32"/>
          <w:szCs w:val="32"/>
          <w:lang w:eastAsia="zh-CN"/>
        </w:rPr>
        <w:t>开展信息化改造，优选选择标准站与专业站安装信息化监控设备，规范与强化信息站的信息服务功能与管理，提升信息站的特色农产品销售与上行，计划在全区布点不少于</w:t>
      </w:r>
      <w:r>
        <w:rPr>
          <w:rFonts w:hint="eastAsia" w:ascii="仿宋_GB2312" w:hAnsi="仿宋_GB2312" w:eastAsia="仿宋_GB2312" w:cs="仿宋_GB2312"/>
          <w:b w:val="0"/>
          <w:bCs w:val="0"/>
          <w:color w:val="auto"/>
          <w:spacing w:val="-9"/>
          <w:sz w:val="32"/>
          <w:szCs w:val="32"/>
          <w:lang w:val="en-US" w:eastAsia="zh-CN"/>
        </w:rPr>
        <w:t>50个。（具体设备参数及清单见附件二）</w:t>
      </w:r>
    </w:p>
    <w:p>
      <w:pPr>
        <w:pStyle w:val="5"/>
        <w:pageBreakBefore w:val="0"/>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2、绩效指标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（1）建设一个可视化全产业链大数据指挥系统，其中产业生产运营监控不少于10个点，村级益农信息社服务站运营监控不少于 50 个站。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bidi="ar"/>
        </w:rPr>
        <w:t>（2）实现全州禾花鱼</w:t>
      </w:r>
      <w:r>
        <w:rPr>
          <w:rFonts w:hint="eastAsia" w:ascii="仿宋_GB2312" w:hAnsi="仿宋_GB2312" w:eastAsia="仿宋_GB2312" w:cs="仿宋_GB2312"/>
          <w:b w:val="0"/>
          <w:bCs w:val="0"/>
          <w:color w:val="auto"/>
          <w:sz w:val="32"/>
          <w:szCs w:val="32"/>
        </w:rPr>
        <w:t>产业 80%以上实现信息化</w:t>
      </w:r>
      <w:r>
        <w:rPr>
          <w:rFonts w:hint="eastAsia" w:ascii="仿宋_GB2312" w:hAnsi="仿宋_GB2312" w:eastAsia="仿宋_GB2312" w:cs="仿宋_GB2312"/>
          <w:b w:val="0"/>
          <w:bCs w:val="0"/>
          <w:color w:val="auto"/>
          <w:w w:val="110"/>
          <w:sz w:val="32"/>
          <w:szCs w:val="32"/>
        </w:rPr>
        <w:t>管理</w:t>
      </w:r>
      <w:r>
        <w:rPr>
          <w:rFonts w:hint="eastAsia" w:ascii="仿宋_GB2312" w:hAnsi="仿宋_GB2312" w:eastAsia="仿宋_GB2312" w:cs="仿宋_GB2312"/>
          <w:b w:val="0"/>
          <w:bCs w:val="0"/>
          <w:color w:val="auto"/>
          <w:w w:val="125"/>
          <w:sz w:val="32"/>
          <w:szCs w:val="32"/>
        </w:rPr>
        <w:t>,</w:t>
      </w:r>
      <w:r>
        <w:rPr>
          <w:rFonts w:hint="eastAsia" w:ascii="仿宋_GB2312" w:hAnsi="仿宋_GB2312" w:eastAsia="仿宋_GB2312" w:cs="仿宋_GB2312"/>
          <w:b w:val="0"/>
          <w:bCs w:val="0"/>
          <w:color w:val="auto"/>
          <w:w w:val="110"/>
          <w:sz w:val="32"/>
          <w:szCs w:val="32"/>
        </w:rPr>
        <w:t>县级运营</w:t>
      </w:r>
      <w:r>
        <w:rPr>
          <w:rFonts w:hint="eastAsia" w:ascii="仿宋_GB2312" w:hAnsi="仿宋_GB2312" w:eastAsia="仿宋_GB2312" w:cs="仿宋_GB2312"/>
          <w:b w:val="0"/>
          <w:bCs w:val="0"/>
          <w:color w:val="auto"/>
          <w:sz w:val="32"/>
          <w:szCs w:val="32"/>
        </w:rPr>
        <w:t>中心实现可视化</w:t>
      </w:r>
      <w:r>
        <w:rPr>
          <w:rFonts w:hint="eastAsia" w:ascii="仿宋_GB2312" w:hAnsi="仿宋_GB2312" w:eastAsia="仿宋_GB2312" w:cs="仿宋_GB2312"/>
          <w:b w:val="0"/>
          <w:bCs w:val="0"/>
          <w:color w:val="auto"/>
          <w:w w:val="110"/>
          <w:sz w:val="32"/>
          <w:szCs w:val="32"/>
        </w:rPr>
        <w:t>监控运营</w:t>
      </w:r>
      <w:r>
        <w:rPr>
          <w:rFonts w:hint="eastAsia" w:ascii="仿宋_GB2312" w:hAnsi="仿宋_GB2312" w:eastAsia="仿宋_GB2312" w:cs="仿宋_GB2312"/>
          <w:b w:val="0"/>
          <w:bCs w:val="0"/>
          <w:color w:val="auto"/>
          <w:w w:val="125"/>
          <w:sz w:val="32"/>
          <w:szCs w:val="32"/>
        </w:rPr>
        <w:t>,</w:t>
      </w:r>
      <w:r>
        <w:rPr>
          <w:rFonts w:hint="eastAsia" w:ascii="仿宋_GB2312" w:hAnsi="仿宋_GB2312" w:eastAsia="仿宋_GB2312" w:cs="仿宋_GB2312"/>
          <w:b w:val="0"/>
          <w:bCs w:val="0"/>
          <w:color w:val="auto"/>
          <w:w w:val="110"/>
          <w:sz w:val="32"/>
          <w:szCs w:val="32"/>
        </w:rPr>
        <w:t>全县</w:t>
      </w:r>
      <w:r>
        <w:rPr>
          <w:rFonts w:hint="eastAsia" w:ascii="仿宋_GB2312" w:hAnsi="仿宋_GB2312" w:eastAsia="仿宋_GB2312" w:cs="仿宋_GB2312"/>
          <w:b w:val="0"/>
          <w:bCs w:val="0"/>
          <w:color w:val="auto"/>
          <w:sz w:val="32"/>
          <w:szCs w:val="32"/>
        </w:rPr>
        <w:t>益农信息社销售本地特色农产品数量比2020 年翻一番。</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（二）建设</w:t>
      </w:r>
      <w:r>
        <w:rPr>
          <w:rFonts w:hint="eastAsia" w:ascii="仿宋_GB2312" w:hAnsi="仿宋_GB2312" w:eastAsia="仿宋_GB2312" w:cs="仿宋_GB2312"/>
          <w:b/>
          <w:bCs/>
          <w:color w:val="auto"/>
          <w:sz w:val="32"/>
          <w:szCs w:val="32"/>
          <w:lang w:val="en-US" w:eastAsia="zh-CN"/>
        </w:rPr>
        <w:t>“全州禾花鱼”品牌打造、运营和产销对接服务体系</w:t>
      </w:r>
    </w:p>
    <w:p>
      <w:pPr>
        <w:pStyle w:val="5"/>
        <w:pageBreakBefore w:val="0"/>
        <w:widowControl w:val="0"/>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1、建设内容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围绕</w:t>
      </w:r>
      <w:r>
        <w:rPr>
          <w:rFonts w:hint="eastAsia" w:ascii="仿宋_GB2312" w:hAnsi="仿宋_GB2312" w:eastAsia="仿宋_GB2312" w:cs="仿宋_GB2312"/>
          <w:b w:val="0"/>
          <w:bCs w:val="0"/>
          <w:color w:val="auto"/>
          <w:sz w:val="32"/>
          <w:szCs w:val="32"/>
          <w:lang w:val="en-US" w:eastAsia="zh-CN"/>
        </w:rPr>
        <w:t>全州禾花鱼的特征与优势，结合县域的各种资源，打造“全州禾花鱼”县域品牌，形成规范标准的品牌VI体系与日常管理和运营规范，同时通过全媒体开展品牌的培育与推广。利用新媒体和营销方式促进产品的在线营销与电商化，并不断推动产销对接，与区内外的食堂、企业等开展集团采购与供销合作。</w:t>
      </w:r>
    </w:p>
    <w:p>
      <w:pPr>
        <w:pStyle w:val="5"/>
        <w:pageBreakBefore w:val="0"/>
        <w:widowControl w:val="0"/>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2、绩效指标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（1）建立和培育一个“全州禾花鱼”的县域品牌，形成一套品牌VI的规范与体系。同时打造品牌培育和推广的媒体矩阵体系，开展品牌宣传与推广。扩大“全州禾花鱼”的品牌知晓度与影响力。</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（2）多方式的促进产销对接，对接省内外的食堂、企业等不少于4家，形成产销对接与定制供应的模式。</w:t>
      </w:r>
    </w:p>
    <w:p>
      <w:pPr>
        <w:pStyle w:val="4"/>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（三）网络营销师、带货主播、电商达人培育</w:t>
      </w:r>
    </w:p>
    <w:p>
      <w:pPr>
        <w:pStyle w:val="5"/>
        <w:pageBreakBefore w:val="0"/>
        <w:widowControl w:val="0"/>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1、建设内容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结合全州县的实际情况，联合共青团、扶贫办、农业农村局等部门，针对有志于投身到新媒体推广、电商与网络营销的青年、干部及企业等主体，开展系统化的培训，以授课、技能实操、孵化指导等形式培育网络营销师、带货主播、电商达人不少于50人。</w:t>
      </w:r>
    </w:p>
    <w:p>
      <w:pPr>
        <w:pStyle w:val="5"/>
        <w:pageBreakBefore w:val="0"/>
        <w:widowControl w:val="0"/>
        <w:numPr>
          <w:ilvl w:val="0"/>
          <w:numId w:val="1"/>
        </w:numPr>
        <w:kinsoku/>
        <w:wordWrap/>
        <w:overflowPunct/>
        <w:topLinePunct w:val="0"/>
        <w:autoSpaceDE/>
        <w:autoSpaceDN/>
        <w:bidi w:val="0"/>
        <w:snapToGrid w:val="0"/>
        <w:spacing w:before="0" w:beforeLines="0" w:after="0" w:afterLines="0" w:line="560" w:lineRule="exact"/>
        <w:ind w:firstLine="643" w:firstLineChars="200"/>
        <w:textAlignment w:val="auto"/>
        <w:rPr>
          <w:rFonts w:hint="eastAsia"/>
          <w:color w:val="auto"/>
          <w:lang w:val="en-US" w:eastAsia="zh-CN"/>
        </w:rPr>
      </w:pPr>
      <w:r>
        <w:rPr>
          <w:rFonts w:hint="eastAsia"/>
          <w:color w:val="auto"/>
          <w:lang w:val="en-US" w:eastAsia="zh-CN"/>
        </w:rPr>
        <w:t>绩效指标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培育网络营销师、带货直播、农产品电商达人 50 人以上，使其掌握全套的网销销售、电商直播及店铺运营常识与技巧，形成一个培育团队跟踪项目服务。</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val="en-US" w:eastAsia="zh-CN"/>
        </w:rPr>
      </w:pPr>
      <w:r>
        <w:rPr>
          <w:rFonts w:hint="eastAsia" w:ascii="FZHei-B01S" w:hAnsi="FZHei-B01S" w:eastAsia="FZHei-B01S" w:cs="FZHei-B01S"/>
          <w:b w:val="0"/>
          <w:bCs w:val="0"/>
          <w:color w:val="auto"/>
          <w:sz w:val="32"/>
          <w:szCs w:val="32"/>
          <w:lang w:val="en-US" w:eastAsia="zh-CN"/>
        </w:rPr>
        <w:t>六、建设资金来源及分配</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项目拟投入资金250万元，全部来自于信息进村入户产业数字化提升工程项目专项资金，通过招投标方式确定项目承担主体，资金采用先建后补、包干使用方式拨付，具体项目资金及分配见附件三。</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val="en-US" w:eastAsia="zh-CN"/>
        </w:rPr>
      </w:pPr>
      <w:r>
        <w:rPr>
          <w:rFonts w:hint="eastAsia" w:ascii="FZHei-B01S" w:hAnsi="FZHei-B01S" w:eastAsia="FZHei-B01S" w:cs="FZHei-B01S"/>
          <w:b w:val="0"/>
          <w:bCs w:val="0"/>
          <w:color w:val="auto"/>
          <w:sz w:val="32"/>
          <w:szCs w:val="32"/>
          <w:lang w:val="en-US" w:eastAsia="zh-CN"/>
        </w:rPr>
        <w:t>七、资产管理及权属</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项目专项</w:t>
      </w:r>
      <w:r>
        <w:rPr>
          <w:rFonts w:hint="eastAsia" w:ascii="仿宋_GB2312" w:hAnsi="仿宋_GB2312" w:eastAsia="仿宋_GB2312" w:cs="仿宋_GB2312"/>
          <w:b w:val="0"/>
          <w:bCs w:val="0"/>
          <w:color w:val="auto"/>
          <w:sz w:val="32"/>
          <w:szCs w:val="32"/>
        </w:rPr>
        <w:t>资金所形成的资产产权归</w:t>
      </w:r>
      <w:r>
        <w:rPr>
          <w:rFonts w:hint="eastAsia" w:ascii="仿宋_GB2312" w:hAnsi="仿宋_GB2312" w:eastAsia="仿宋_GB2312" w:cs="仿宋_GB2312"/>
          <w:b w:val="0"/>
          <w:bCs w:val="0"/>
          <w:color w:val="auto"/>
          <w:sz w:val="32"/>
          <w:szCs w:val="32"/>
          <w:lang w:eastAsia="zh-CN"/>
        </w:rPr>
        <w:t>全州县</w:t>
      </w:r>
      <w:r>
        <w:rPr>
          <w:rFonts w:hint="eastAsia" w:ascii="仿宋_GB2312" w:hAnsi="仿宋_GB2312" w:eastAsia="仿宋_GB2312" w:cs="仿宋_GB2312"/>
          <w:b w:val="0"/>
          <w:bCs w:val="0"/>
          <w:color w:val="auto"/>
          <w:sz w:val="32"/>
          <w:szCs w:val="32"/>
        </w:rPr>
        <w:t>人民政府所有，政府资产授权给企业管理使用，与使用效果挂钩。签订协议，在使用期间加强对资产管理，</w:t>
      </w:r>
      <w:r>
        <w:rPr>
          <w:rFonts w:hint="eastAsia" w:ascii="仿宋_GB2312" w:hAnsi="仿宋_GB2312" w:eastAsia="仿宋_GB2312" w:cs="仿宋_GB2312"/>
          <w:b w:val="0"/>
          <w:bCs w:val="0"/>
          <w:color w:val="auto"/>
          <w:sz w:val="32"/>
          <w:szCs w:val="32"/>
          <w:lang w:eastAsia="zh-CN"/>
        </w:rPr>
        <w:t>全州县</w:t>
      </w:r>
      <w:r>
        <w:rPr>
          <w:rFonts w:hint="eastAsia" w:ascii="仿宋_GB2312" w:hAnsi="仿宋_GB2312" w:eastAsia="仿宋_GB2312" w:cs="仿宋_GB2312"/>
          <w:b w:val="0"/>
          <w:bCs w:val="0"/>
          <w:color w:val="auto"/>
          <w:sz w:val="32"/>
          <w:szCs w:val="32"/>
        </w:rPr>
        <w:t>人民政府可根据效</w:t>
      </w:r>
      <w:r>
        <w:rPr>
          <w:rFonts w:hint="eastAsia" w:ascii="仿宋_GB2312" w:hAnsi="仿宋_GB2312" w:eastAsia="仿宋_GB2312" w:cs="仿宋_GB2312"/>
          <w:b w:val="0"/>
          <w:bCs w:val="0"/>
          <w:color w:val="auto"/>
          <w:sz w:val="32"/>
          <w:szCs w:val="32"/>
          <w:lang w:val="en-US" w:eastAsia="zh-CN"/>
        </w:rPr>
        <w:t>果更换使用企业主体。</w:t>
      </w:r>
    </w:p>
    <w:p>
      <w:pPr>
        <w:pStyle w:val="3"/>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FZHei-B01S" w:hAnsi="FZHei-B01S" w:eastAsia="FZHei-B01S" w:cs="FZHei-B01S"/>
          <w:b w:val="0"/>
          <w:bCs w:val="0"/>
          <w:color w:val="auto"/>
          <w:sz w:val="32"/>
          <w:szCs w:val="32"/>
          <w:lang w:val="en-US" w:eastAsia="zh-CN"/>
        </w:rPr>
      </w:pPr>
      <w:r>
        <w:rPr>
          <w:rFonts w:hint="eastAsia" w:ascii="FZHei-B01S" w:hAnsi="FZHei-B01S" w:eastAsia="FZHei-B01S" w:cs="FZHei-B01S"/>
          <w:b w:val="0"/>
          <w:bCs w:val="0"/>
          <w:color w:val="auto"/>
          <w:sz w:val="32"/>
          <w:szCs w:val="32"/>
          <w:lang w:val="en-US" w:eastAsia="zh-CN"/>
        </w:rPr>
        <w:t>八、</w:t>
      </w:r>
      <w:bookmarkStart w:id="0" w:name="_Toc10430"/>
      <w:bookmarkStart w:id="1" w:name="_Toc49101121"/>
      <w:r>
        <w:rPr>
          <w:rFonts w:hint="eastAsia" w:ascii="FZHei-B01S" w:hAnsi="FZHei-B01S" w:eastAsia="FZHei-B01S" w:cs="FZHei-B01S"/>
          <w:b w:val="0"/>
          <w:bCs w:val="0"/>
          <w:color w:val="auto"/>
          <w:sz w:val="32"/>
          <w:szCs w:val="32"/>
          <w:lang w:val="en-US" w:eastAsia="zh-CN"/>
        </w:rPr>
        <w:t>工作保障</w:t>
      </w:r>
      <w:bookmarkEnd w:id="0"/>
      <w:bookmarkEnd w:id="1"/>
    </w:p>
    <w:p>
      <w:pPr>
        <w:pStyle w:val="4"/>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bookmarkStart w:id="2" w:name="_Toc24476"/>
      <w:bookmarkStart w:id="3" w:name="_Toc49101122"/>
      <w:r>
        <w:rPr>
          <w:rFonts w:hint="eastAsia" w:ascii="仿宋_GB2312" w:hAnsi="仿宋_GB2312" w:eastAsia="仿宋_GB2312" w:cs="仿宋_GB2312"/>
          <w:b/>
          <w:bCs/>
          <w:color w:val="auto"/>
          <w:sz w:val="32"/>
          <w:szCs w:val="32"/>
        </w:rPr>
        <w:t>（一）加强组织领导</w:t>
      </w:r>
      <w:bookmarkEnd w:id="2"/>
      <w:bookmarkEnd w:id="3"/>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成立工作领导小组，</w:t>
      </w:r>
      <w:r>
        <w:rPr>
          <w:rFonts w:hint="eastAsia" w:ascii="仿宋_GB2312" w:hAnsi="仿宋_GB2312" w:eastAsia="仿宋_GB2312" w:cs="仿宋_GB2312"/>
          <w:b w:val="0"/>
          <w:bCs w:val="0"/>
          <w:color w:val="auto"/>
          <w:sz w:val="32"/>
          <w:szCs w:val="32"/>
        </w:rPr>
        <w:t>建立多部门参与的工作协调机制，加大政策协同力度，从本地实际出发，深挖</w:t>
      </w:r>
      <w:r>
        <w:rPr>
          <w:rFonts w:hint="eastAsia" w:ascii="仿宋_GB2312" w:hAnsi="仿宋_GB2312" w:eastAsia="仿宋_GB2312" w:cs="仿宋_GB2312"/>
          <w:b w:val="0"/>
          <w:bCs w:val="0"/>
          <w:color w:val="auto"/>
          <w:sz w:val="32"/>
          <w:szCs w:val="32"/>
          <w:lang w:eastAsia="zh-CN"/>
        </w:rPr>
        <w:t>产业特色，合理布局</w:t>
      </w:r>
      <w:r>
        <w:rPr>
          <w:rFonts w:hint="eastAsia" w:ascii="仿宋_GB2312" w:hAnsi="仿宋_GB2312" w:eastAsia="仿宋_GB2312" w:cs="仿宋_GB2312"/>
          <w:b w:val="0"/>
          <w:bCs w:val="0"/>
          <w:color w:val="auto"/>
          <w:sz w:val="32"/>
          <w:szCs w:val="32"/>
        </w:rPr>
        <w:t>，做大做强特色产业，推进政策落地。</w:t>
      </w:r>
    </w:p>
    <w:p>
      <w:pPr>
        <w:pStyle w:val="4"/>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bookmarkStart w:id="4" w:name="_Toc13653"/>
      <w:bookmarkStart w:id="5" w:name="_Toc49101123"/>
      <w:r>
        <w:rPr>
          <w:rFonts w:hint="eastAsia" w:ascii="仿宋_GB2312" w:hAnsi="仿宋_GB2312" w:eastAsia="仿宋_GB2312" w:cs="仿宋_GB2312"/>
          <w:b/>
          <w:bCs/>
          <w:color w:val="auto"/>
          <w:sz w:val="32"/>
          <w:szCs w:val="32"/>
        </w:rPr>
        <w:t>（二）健全责任监督机制</w:t>
      </w:r>
      <w:bookmarkEnd w:id="4"/>
      <w:bookmarkEnd w:id="5"/>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要结合本地实际，</w:t>
      </w:r>
      <w:r>
        <w:rPr>
          <w:rFonts w:hint="eastAsia" w:ascii="仿宋_GB2312" w:hAnsi="仿宋_GB2312" w:eastAsia="仿宋_GB2312" w:cs="仿宋_GB2312"/>
          <w:b w:val="0"/>
          <w:bCs w:val="0"/>
          <w:color w:val="auto"/>
          <w:sz w:val="32"/>
          <w:szCs w:val="32"/>
          <w:lang w:eastAsia="zh-CN"/>
        </w:rPr>
        <w:t>合理</w:t>
      </w:r>
      <w:r>
        <w:rPr>
          <w:rFonts w:hint="eastAsia" w:ascii="仿宋_GB2312" w:hAnsi="仿宋_GB2312" w:eastAsia="仿宋_GB2312" w:cs="仿宋_GB2312"/>
          <w:b w:val="0"/>
          <w:bCs w:val="0"/>
          <w:color w:val="auto"/>
          <w:sz w:val="32"/>
          <w:szCs w:val="32"/>
        </w:rPr>
        <w:t>安排资金和项目，明确责任人和进展时限，确保资金安全、方案落地、</w:t>
      </w:r>
      <w:r>
        <w:rPr>
          <w:rFonts w:hint="eastAsia" w:ascii="仿宋_GB2312" w:hAnsi="仿宋_GB2312" w:eastAsia="仿宋_GB2312" w:cs="仿宋_GB2312"/>
          <w:b w:val="0"/>
          <w:bCs w:val="0"/>
          <w:color w:val="auto"/>
          <w:sz w:val="32"/>
          <w:szCs w:val="32"/>
          <w:lang w:eastAsia="zh-CN"/>
        </w:rPr>
        <w:t>产业和</w:t>
      </w:r>
      <w:r>
        <w:rPr>
          <w:rFonts w:hint="eastAsia" w:ascii="仿宋_GB2312" w:hAnsi="仿宋_GB2312" w:eastAsia="仿宋_GB2312" w:cs="仿宋_GB2312"/>
          <w:b w:val="0"/>
          <w:bCs w:val="0"/>
          <w:color w:val="auto"/>
          <w:sz w:val="32"/>
          <w:szCs w:val="32"/>
        </w:rPr>
        <w:t>农民受益。加强对项目和资金的定期现场检查。</w:t>
      </w:r>
    </w:p>
    <w:p>
      <w:pPr>
        <w:pStyle w:val="4"/>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bookmarkStart w:id="6" w:name="_Toc9499"/>
      <w:bookmarkStart w:id="7" w:name="_Toc49101125"/>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）加强财务监管</w:t>
      </w:r>
      <w:bookmarkEnd w:id="6"/>
      <w:bookmarkEnd w:id="7"/>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按计划保障资金投入。项目实施过程中，按照“一事一议”的方式分别报政府审批。项目资金严格</w:t>
      </w:r>
      <w:r>
        <w:rPr>
          <w:rFonts w:hint="eastAsia" w:ascii="仿宋_GB2312" w:hAnsi="仿宋_GB2312" w:eastAsia="仿宋_GB2312" w:cs="仿宋_GB2312"/>
          <w:b w:val="0"/>
          <w:bCs w:val="0"/>
          <w:color w:val="auto"/>
          <w:sz w:val="32"/>
          <w:szCs w:val="32"/>
          <w:lang w:eastAsia="zh-CN"/>
        </w:rPr>
        <w:t>按照项目</w:t>
      </w:r>
      <w:r>
        <w:rPr>
          <w:rFonts w:hint="eastAsia" w:ascii="仿宋_GB2312" w:hAnsi="仿宋_GB2312" w:eastAsia="仿宋_GB2312" w:cs="仿宋_GB2312"/>
          <w:b w:val="0"/>
          <w:bCs w:val="0"/>
          <w:color w:val="auto"/>
          <w:sz w:val="32"/>
          <w:szCs w:val="32"/>
        </w:rPr>
        <w:t>建设要求有关规定专款专用。</w:t>
      </w:r>
    </w:p>
    <w:p>
      <w:pPr>
        <w:pStyle w:val="4"/>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仿宋_GB2312"/>
          <w:b/>
          <w:bCs/>
          <w:color w:val="auto"/>
          <w:sz w:val="32"/>
          <w:szCs w:val="32"/>
        </w:rPr>
      </w:pPr>
      <w:bookmarkStart w:id="8" w:name="_Toc49101126"/>
      <w:bookmarkStart w:id="9" w:name="_Toc5392"/>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）加大宣传推广力度</w:t>
      </w:r>
      <w:bookmarkEnd w:id="8"/>
      <w:bookmarkEnd w:id="9"/>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利用网络媒体和报纸、广播电视等传统媒体大力宣传</w:t>
      </w:r>
      <w:r>
        <w:rPr>
          <w:rFonts w:hint="eastAsia" w:ascii="仿宋_GB2312" w:hAnsi="仿宋_GB2312" w:eastAsia="仿宋_GB2312" w:cs="仿宋_GB2312"/>
          <w:b w:val="0"/>
          <w:bCs w:val="0"/>
          <w:color w:val="auto"/>
          <w:sz w:val="32"/>
          <w:szCs w:val="32"/>
          <w:lang w:eastAsia="zh-CN"/>
        </w:rPr>
        <w:t>项目建设</w:t>
      </w:r>
      <w:r>
        <w:rPr>
          <w:rFonts w:hint="eastAsia" w:ascii="仿宋_GB2312" w:hAnsi="仿宋_GB2312" w:eastAsia="仿宋_GB2312" w:cs="仿宋_GB2312"/>
          <w:b w:val="0"/>
          <w:bCs w:val="0"/>
          <w:color w:val="auto"/>
          <w:sz w:val="32"/>
          <w:szCs w:val="32"/>
        </w:rPr>
        <w:t>的各项举措</w:t>
      </w:r>
      <w:r>
        <w:rPr>
          <w:rFonts w:hint="eastAsia" w:ascii="仿宋_GB2312" w:hAnsi="仿宋_GB2312" w:eastAsia="仿宋_GB2312" w:cs="仿宋_GB2312"/>
          <w:b w:val="0"/>
          <w:bCs w:val="0"/>
          <w:color w:val="auto"/>
          <w:sz w:val="32"/>
          <w:szCs w:val="32"/>
          <w:lang w:eastAsia="zh-CN"/>
        </w:rPr>
        <w:t>和成效</w:t>
      </w:r>
      <w:r>
        <w:rPr>
          <w:rFonts w:hint="eastAsia" w:ascii="仿宋_GB2312" w:hAnsi="仿宋_GB2312" w:eastAsia="仿宋_GB2312" w:cs="仿宋_GB2312"/>
          <w:b w:val="0"/>
          <w:bCs w:val="0"/>
          <w:color w:val="auto"/>
          <w:sz w:val="32"/>
          <w:szCs w:val="32"/>
        </w:rPr>
        <w:t>，增强</w:t>
      </w:r>
      <w:r>
        <w:rPr>
          <w:rFonts w:hint="eastAsia" w:ascii="仿宋_GB2312" w:hAnsi="仿宋_GB2312" w:eastAsia="仿宋_GB2312" w:cs="仿宋_GB2312"/>
          <w:b w:val="0"/>
          <w:bCs w:val="0"/>
          <w:color w:val="auto"/>
          <w:sz w:val="32"/>
          <w:szCs w:val="32"/>
          <w:lang w:eastAsia="zh-CN"/>
        </w:rPr>
        <w:t>参与主体</w:t>
      </w:r>
      <w:r>
        <w:rPr>
          <w:rFonts w:hint="eastAsia" w:ascii="仿宋_GB2312" w:hAnsi="仿宋_GB2312" w:eastAsia="仿宋_GB2312" w:cs="仿宋_GB2312"/>
          <w:b w:val="0"/>
          <w:bCs w:val="0"/>
          <w:color w:val="auto"/>
          <w:sz w:val="32"/>
          <w:szCs w:val="32"/>
        </w:rPr>
        <w:t>的信心。</w:t>
      </w:r>
      <w:r>
        <w:rPr>
          <w:rFonts w:hint="eastAsia" w:ascii="仿宋_GB2312" w:hAnsi="仿宋_GB2312" w:eastAsia="仿宋_GB2312" w:cs="仿宋_GB2312"/>
          <w:b w:val="0"/>
          <w:bCs w:val="0"/>
          <w:color w:val="auto"/>
          <w:sz w:val="32"/>
          <w:szCs w:val="32"/>
          <w:lang w:eastAsia="zh-CN"/>
        </w:rPr>
        <w:t>同时开展品牌的培育与推广，大力的促进产业建设的曝光度，营造产业数字化建设的氛围。</w:t>
      </w:r>
    </w:p>
    <w:p>
      <w:pPr>
        <w:pStyle w:val="8"/>
        <w:pageBreakBefore w:val="0"/>
        <w:kinsoku/>
        <w:wordWrap/>
        <w:overflowPunct/>
        <w:topLinePunct w:val="0"/>
        <w:autoSpaceDE/>
        <w:autoSpaceDN/>
        <w:bidi w:val="0"/>
        <w:snapToGrid w:val="0"/>
        <w:spacing w:line="360" w:lineRule="auto"/>
        <w:ind w:firstLine="640" w:firstLineChars="200"/>
        <w:textAlignment w:val="auto"/>
        <w:rPr>
          <w:rFonts w:hint="eastAsia"/>
          <w:color w:val="auto"/>
          <w:lang w:val="en-US" w:eastAsia="zh-CN"/>
        </w:rPr>
      </w:pPr>
    </w:p>
    <w:p>
      <w:pPr>
        <w:pStyle w:val="8"/>
        <w:pageBreakBefore w:val="0"/>
        <w:kinsoku/>
        <w:wordWrap/>
        <w:overflowPunct/>
        <w:topLinePunct w:val="0"/>
        <w:autoSpaceDE/>
        <w:autoSpaceDN/>
        <w:bidi w:val="0"/>
        <w:snapToGrid w:val="0"/>
        <w:spacing w:line="360" w:lineRule="auto"/>
        <w:ind w:firstLine="640" w:firstLineChars="200"/>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p>
    <w:p>
      <w:pPr>
        <w:pStyle w:val="3"/>
        <w:pageBreakBefore w:val="0"/>
        <w:kinsoku/>
        <w:wordWrap/>
        <w:overflowPunct/>
        <w:topLinePunct w:val="0"/>
        <w:autoSpaceDE/>
        <w:autoSpaceDN/>
        <w:bidi w:val="0"/>
        <w:snapToGrid w:val="0"/>
        <w:spacing w:line="360" w:lineRule="auto"/>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p>
    <w:p>
      <w:pPr>
        <w:pStyle w:val="8"/>
        <w:pageBreakBefore w:val="0"/>
        <w:kinsoku/>
        <w:wordWrap/>
        <w:overflowPunct/>
        <w:topLinePunct w:val="0"/>
        <w:autoSpaceDE/>
        <w:autoSpaceDN/>
        <w:bidi w:val="0"/>
        <w:snapToGrid w:val="0"/>
        <w:spacing w:line="360" w:lineRule="auto"/>
        <w:ind w:firstLine="640" w:firstLineChars="200"/>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p>
    <w:p>
      <w:pPr>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p>
    <w:p>
      <w:pPr>
        <w:pStyle w:val="8"/>
        <w:pageBreakBefore w:val="0"/>
        <w:kinsoku/>
        <w:wordWrap/>
        <w:overflowPunct/>
        <w:topLinePunct w:val="0"/>
        <w:autoSpaceDE/>
        <w:autoSpaceDN/>
        <w:bidi w:val="0"/>
        <w:snapToGrid w:val="0"/>
        <w:spacing w:line="360" w:lineRule="auto"/>
        <w:ind w:firstLine="640" w:firstLineChars="200"/>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p>
    <w:p>
      <w:pPr>
        <w:pageBreakBefore w:val="0"/>
        <w:kinsoku/>
        <w:wordWrap/>
        <w:overflowPunct/>
        <w:topLinePunct w:val="0"/>
        <w:autoSpaceDE/>
        <w:autoSpaceDN/>
        <w:bidi w:val="0"/>
        <w:snapToGrid w:val="0"/>
        <w:spacing w:line="360" w:lineRule="auto"/>
        <w:rPr>
          <w:rFonts w:hint="eastAsia" w:ascii="仿宋_GB2312" w:hAnsi="仿宋_GB2312" w:eastAsia="仿宋_GB2312" w:cs="仿宋_GB2312"/>
          <w:b w:val="0"/>
          <w:bCs w:val="0"/>
          <w:color w:val="auto"/>
          <w:kern w:val="0"/>
          <w:sz w:val="32"/>
          <w:szCs w:val="32"/>
          <w:lang w:val="en-US" w:eastAsia="zh-CN" w:bidi="ar"/>
        </w:rPr>
        <w:sectPr>
          <w:footerReference r:id="rId3" w:type="default"/>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640" w:lineRule="exact"/>
        <w:ind w:left="238"/>
        <w:jc w:val="left"/>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附件一：</w:t>
      </w:r>
    </w:p>
    <w:p>
      <w:pPr>
        <w:pStyle w:val="3"/>
        <w:keepNext w:val="0"/>
        <w:keepLines w:val="0"/>
        <w:pageBreakBefore w:val="0"/>
        <w:widowControl w:val="0"/>
        <w:kinsoku/>
        <w:wordWrap/>
        <w:overflowPunct/>
        <w:topLinePunct w:val="0"/>
        <w:autoSpaceDE/>
        <w:autoSpaceDN/>
        <w:bidi w:val="0"/>
        <w:adjustRightInd/>
        <w:snapToGrid w:val="0"/>
        <w:spacing w:line="640" w:lineRule="exact"/>
        <w:ind w:left="238"/>
        <w:jc w:val="center"/>
        <w:textAlignment w:val="auto"/>
        <w:rPr>
          <w:rFonts w:hint="eastAsia"/>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《全州县2021年广西信息进村入户产业数字化提升工程项目特色优势农产品可视化全产业链大数据指挥系统清单》</w:t>
      </w:r>
    </w:p>
    <w:tbl>
      <w:tblPr>
        <w:tblStyle w:val="11"/>
        <w:tblW w:w="4991" w:type="pct"/>
        <w:tblInd w:w="0" w:type="dxa"/>
        <w:shd w:val="clear" w:color="auto" w:fill="auto"/>
        <w:tblLayout w:type="autofit"/>
        <w:tblCellMar>
          <w:top w:w="0" w:type="dxa"/>
          <w:left w:w="0" w:type="dxa"/>
          <w:bottom w:w="0" w:type="dxa"/>
          <w:right w:w="0" w:type="dxa"/>
        </w:tblCellMar>
      </w:tblPr>
      <w:tblGrid>
        <w:gridCol w:w="832"/>
        <w:gridCol w:w="989"/>
        <w:gridCol w:w="1977"/>
        <w:gridCol w:w="7413"/>
        <w:gridCol w:w="1254"/>
        <w:gridCol w:w="1492"/>
      </w:tblGrid>
      <w:tr>
        <w:tblPrEx>
          <w:shd w:val="clear" w:color="auto" w:fill="auto"/>
          <w:tblCellMar>
            <w:top w:w="0" w:type="dxa"/>
            <w:left w:w="0" w:type="dxa"/>
            <w:bottom w:w="0" w:type="dxa"/>
            <w:right w:w="0" w:type="dxa"/>
          </w:tblCellMar>
        </w:tblPrEx>
        <w:trPr>
          <w:trHeight w:val="836"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序号</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系统名称</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子系统名称</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功能描述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数量(套)</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339"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全覆盖的物联网监控和预警平台</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全覆盖物联网监控终端</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充分依托低功耗一站式物联网监控终端,在特色优势 农产品主产区进行全覆盖监测,监测指标包括:温度、 湿度、光照、大气压和视频/图片等,设备支持超低 功耗待机和太阳能供电,支持 2G、4G、NB-IOT</w:t>
            </w:r>
            <w:r>
              <w:rPr>
                <w:rStyle w:val="17"/>
                <w:rFonts w:eastAsia="仿宋_GB2312"/>
                <w:color w:val="auto"/>
                <w:lang w:val="en-US" w:eastAsia="zh-CN" w:bidi="ar"/>
              </w:rPr>
              <w:t xml:space="preserve"> </w:t>
            </w:r>
            <w:r>
              <w:rPr>
                <w:rStyle w:val="18"/>
                <w:rFonts w:hAnsi="宋体"/>
                <w:color w:val="auto"/>
                <w:lang w:val="en-US" w:eastAsia="zh-CN" w:bidi="ar"/>
              </w:rPr>
              <w:t>多网络通讯</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n</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根据实际情况选择终端数量</w:t>
            </w: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物联网监控系统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实现农业生产者对生产基地的实时环境监测,通过APP、小程序等随时查看生产地块的实时环境和历史情况,作为生产管理的分析依据</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智能预警及提醒系统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针对不同农业生产应用场景,构建物联网环境预警模型,为农业生产者提供依据各项监测指标和气象指标的农业生产预警和提醒,降低农业生产者的生产风险</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668"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AI 农业生产技术服务平台</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人工智能专家服务系统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利用大数据、人工智能、知识库等技术构建农业生产AI</w:t>
            </w:r>
            <w:r>
              <w:rPr>
                <w:rStyle w:val="17"/>
                <w:rFonts w:eastAsia="仿宋_GB2312"/>
                <w:color w:val="auto"/>
                <w:lang w:val="en-US" w:eastAsia="zh-CN" w:bidi="ar"/>
              </w:rPr>
              <w:t xml:space="preserve"> </w:t>
            </w:r>
            <w:r>
              <w:rPr>
                <w:rStyle w:val="18"/>
                <w:rFonts w:hAnsi="宋体"/>
                <w:color w:val="auto"/>
                <w:lang w:val="en-US" w:eastAsia="zh-CN" w:bidi="ar"/>
              </w:rPr>
              <w:t>服务系统,为农业生产者提供人类专家一样的生产技术指导服务,包括:病虫害识别、物候期识别、 投入品复配分析等,降低农业生产者获取技术服务的 门槛,提高获取技术服务的时效性,提高农业生产力水平。</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66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在线技术培训服务系统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通过在线平台以视频课堂的形式为农业生产者提供包括:农业生产技术、病虫害防治技术、加工包装技术、物流运输技术、农产品经营管理及市场推广等涵盖农业生产全流程的在线培训服务,农业生产者可以在平台上进行课程的报名、查看学习记录、课件下载、主题交流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政策及行业资讯公告系统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为农业生产者提供技术标准、科技成果与专利、科技文献、种植技术、加工技术、政策法规、市场行情、气象等信息查询服务,帮助农业生产者更好地制定生产经营计划和提高决策水平。</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232"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全流程的生产追溯监控平台</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信用档案查询及问题公示系统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农产品质量安全信用及农资打假信息平台,帮助农资 和农产品建立生产经营主体信用档案,为政府监管、市场评价、消费选择提供重要依据,规范行业。</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681"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"三品一标,申请及公示查询系统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对县域农产品进行产地认定和产品认证,为农业生产者提供"三品一标,的申请入口,帮助特色农产品品牌的培育。</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特色农产品生产档案系统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为农业生产者搭建生产档案追溯体系,包括:基础管理、模型管理、基地管理、种植计划、种植过程管理、库存管理、统计分析、溯源管理等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质量安全检测申请及公示系统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搭建农产品质量安全检测服务平台,让县域农业生产 者能够方便获取第三方快速检测认证、定量检测等, 快速查询检测结果,实现区域的农产品质量安全统计、分析等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681"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区域特色优势农产品品牌管理系统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基地智能化硬件/农机设备</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一体化气象站、航拍无人机、喷药无人机、低功耗AI 摄像头、无人巡检机器人、无人喷药车等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n</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根据实际情况所需选择设备</w:t>
            </w: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名优企业基地实时展示系统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通过可视化的方式直观实时展示特色优势农产品名优企业的基地生产、加工、销售情况,为名优企业提供展示和宣传的平台,帮助名优企业打造企业品牌形象。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区域公共品牌宣传系统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对特色优势农产品进行整体介绍,并放到门户系统中,便于客户或消费者对农产品的历史、文化、品牌全方位的了解,展示特色优势农产品区域公共品牌形象。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66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区域特色产品标准制定、认证推介系统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生产、加工、产品形态、包装形式、运输仓储条件、相关业务流程进行标准制定。结合农产品的实际,精准筛选、开发适合网络销售的重点产品。认证区域特色农产品,建立特色农产品库并为名优企业提供官方认证和展示的推介平台,帮助县域农业企业的优势产品打造和培育。</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网络营销培训及服务系统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培育网络营销师、带货直播、农产品电商达人,建立网络营销培训体系,帮助名优企业建立网络营销的能力,搭建第三方网络营销服务平台。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997"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特色农产品区域流通及销售系统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农产品销售系统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对销售的数据进行监控,对接线上电商平台,及时获取销售的数据。在系统上也能登记线下的销售数据。随时可以查看当前、历史的销售情况,对这些销售数 据进行数据统计和分析,制定销售策略,了解市场行情。销售管理系统还可以对接销售渠道,对接线上电商平台、线下实体平台,协助农产品扩宽销售的渠道。</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县域农产品流通集采系统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搭建县域单位食堂、学校食堂的集采供应系统,对接农产品出村进城销售系统,在监管本地食堂的采购过程中,推动本地农产品的本地化销售和流通。</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农产品流通供应链服务系统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构建农产品本地化流通供应链服务体系,为农产品本地化流通过程中提供各类第三方服务,帮助本地农产品的本地化销售。</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加工管理系统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监控到该加工企业的信息和加工数据,也能对加工过程进行实时摄像头监控,对品种和品牌的产量进行等登记与分析,按照不同的等级进行加工和包装,记录 等级产量数据。对接上游种养和下游销售数据,形成数据联通。</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405"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县域农业数据监测及预警统计分析系统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行业动态数据监测系统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行业动态专题数据:包括育苗、投入品、种植、加工、农产品市场流通和贸易、价格行情、交易情况、质量安全、金融等,涉及种植全产业链的业务专题数据; 包括饲料、投入品、养殖、加工、价格、质量安全、市场流通和贸易等,涉及养殖全产业链的业务专题数据等。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113"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地理空间数据监测系统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建立县域地理空间数据库,基础地理空间数据:包括矢量数据、影像数据、高程模型数据、地理实体数据、地名地址数据、三维模型数据、新型测绘产品数据及其元数据</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消费价格数据监测系统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建立全县域农产品市场价格行情库。包括:批发市场分布、批发市场销售、种类、价格、商场超市销售情况、品牌企业销售情况等。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产业专题预警分析系统</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建立预测预警模型,实现对产业专题包括育苗、投入品、生产、加工、市场流通和贸易等全产业链环节的预测预警分析,为政府部门提供决策支持、政策引导和资源调配</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139"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可视化大数据展示系统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投入品动态监测"一张图"</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实现全县域用于种植的农资投入品生产和销售企业的"一张图,可视化监测。包括:企业分布、规模、资质、信用记录、品种结构、生产数据、销售数据、原料需求情况等。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0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种植业数据"一张图"</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实现特优区内特色种植生产的"一张图,可视化监测。 包括:种植户/企业分布、种植规模、种植品种、数 量、种植环境、种植设施情况、灾情、病虫害防治等。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各项目县根据本县特色优势农产品类型选择搭载</w:t>
            </w:r>
          </w:p>
        </w:tc>
      </w:tr>
      <w:tr>
        <w:tblPrEx>
          <w:tblCellMar>
            <w:top w:w="0" w:type="dxa"/>
            <w:left w:w="0" w:type="dxa"/>
            <w:bottom w:w="0" w:type="dxa"/>
            <w:right w:w="0" w:type="dxa"/>
          </w:tblCellMar>
        </w:tblPrEx>
        <w:trPr>
          <w:trHeight w:val="1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养殖业数据"一张图"</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实现特优区内特色养殖业的"一张图,可视化监测。 包括:养殖户/企业分布、养殖规模、养殖品种、数 量(存栏数、出栏数)、日龄动态变化、养殖环境、养殖设施情况、疾病、疫情等。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水产业数据"一张图"</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实现特优区内特色水产业的"一张图,可视化监测。 包括:养殖户/企业分布、养殖规模、养殖品种、数 量(存栏数、出栏数)、日龄动态变化、养殖环境、养殖设施情况、疾病、疫情等。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119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市场价格行情数据"一张图"</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实现全县域特色农产品市场价格行情的"一张图,可 视化监测。包括:批发市场分布、批发市场销售、种类、价格、商场超市销售情况、品牌企业销售情况等。</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86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农业大数据指挥调度大屏</w:t>
            </w:r>
          </w:p>
        </w:tc>
        <w:tc>
          <w:tcPr>
            <w:tcW w:w="2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建设高清拼接展示大屏在演示(指挥)大厅展示县域智慧农业综合服务平台,为政府提供指挥和集中展示的基础</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宋体" w:eastAsia="仿宋_GB2312" w:cs="仿宋_GB2312"/>
                <w:i w:val="0"/>
                <w:color w:val="auto"/>
                <w:sz w:val="24"/>
                <w:szCs w:val="24"/>
                <w:u w:val="none"/>
              </w:rPr>
            </w:pPr>
          </w:p>
        </w:tc>
      </w:tr>
    </w:tbl>
    <w:p>
      <w:pPr>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3"/>
        <w:pageBreakBefore w:val="0"/>
        <w:kinsoku/>
        <w:wordWrap/>
        <w:overflowPunct/>
        <w:topLinePunct w:val="0"/>
        <w:autoSpaceDE/>
        <w:autoSpaceDN/>
        <w:bidi w:val="0"/>
        <w:snapToGrid w:val="0"/>
        <w:spacing w:line="360" w:lineRule="auto"/>
        <w:ind w:left="0" w:leftChars="0" w:firstLine="0" w:firstLineChars="0"/>
        <w:jc w:val="both"/>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附件二：</w:t>
      </w:r>
    </w:p>
    <w:p>
      <w:pPr>
        <w:pStyle w:val="3"/>
        <w:pageBreakBefore w:val="0"/>
        <w:kinsoku/>
        <w:wordWrap/>
        <w:overflowPunct/>
        <w:topLinePunct w:val="0"/>
        <w:autoSpaceDE/>
        <w:autoSpaceDN/>
        <w:bidi w:val="0"/>
        <w:snapToGrid w:val="0"/>
        <w:spacing w:line="360" w:lineRule="auto"/>
        <w:ind w:left="0" w:leftChars="0" w:firstLine="0" w:firstLine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《全州县2021年广西信息进村入户产业数字化提升工程项目实施方案设备清单》</w:t>
      </w:r>
    </w:p>
    <w:tbl>
      <w:tblPr>
        <w:tblStyle w:val="11"/>
        <w:tblW w:w="5020" w:type="pct"/>
        <w:tblInd w:w="0" w:type="dxa"/>
        <w:shd w:val="clear" w:color="auto" w:fill="auto"/>
        <w:tblLayout w:type="autofit"/>
        <w:tblCellMar>
          <w:top w:w="0" w:type="dxa"/>
          <w:left w:w="0" w:type="dxa"/>
          <w:bottom w:w="0" w:type="dxa"/>
          <w:right w:w="0" w:type="dxa"/>
        </w:tblCellMar>
      </w:tblPr>
      <w:tblGrid>
        <w:gridCol w:w="721"/>
        <w:gridCol w:w="2493"/>
        <w:gridCol w:w="8527"/>
        <w:gridCol w:w="927"/>
        <w:gridCol w:w="1370"/>
      </w:tblGrid>
      <w:tr>
        <w:tblPrEx>
          <w:tblCellMar>
            <w:top w:w="0" w:type="dxa"/>
            <w:left w:w="0" w:type="dxa"/>
            <w:bottom w:w="0" w:type="dxa"/>
            <w:right w:w="0" w:type="dxa"/>
          </w:tblCellMar>
        </w:tblPrEx>
        <w:trPr>
          <w:trHeight w:val="750" w:hRule="atLeast"/>
        </w:trPr>
        <w:tc>
          <w:tcPr>
            <w:tcW w:w="5000" w:type="pct"/>
            <w:gridSpan w:val="5"/>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全州县2021年广西信息进村入户产业数字化提升工程项目实施方案设备清单</w:t>
            </w:r>
          </w:p>
        </w:tc>
      </w:tr>
      <w:tr>
        <w:tblPrEx>
          <w:tblCellMar>
            <w:top w:w="0" w:type="dxa"/>
            <w:left w:w="0" w:type="dxa"/>
            <w:bottom w:w="0" w:type="dxa"/>
            <w:right w:w="0" w:type="dxa"/>
          </w:tblCellMar>
        </w:tblPrEx>
        <w:trPr>
          <w:trHeight w:val="59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产品名称</w:t>
            </w:r>
          </w:p>
        </w:tc>
        <w:tc>
          <w:tcPr>
            <w:tcW w:w="3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参考规格参数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数量</w:t>
            </w:r>
          </w:p>
        </w:tc>
      </w:tr>
      <w:tr>
        <w:tblPrEx>
          <w:tblCellMar>
            <w:top w:w="0" w:type="dxa"/>
            <w:left w:w="0" w:type="dxa"/>
            <w:bottom w:w="0" w:type="dxa"/>
            <w:right w:w="0" w:type="dxa"/>
          </w:tblCellMar>
        </w:tblPrEx>
        <w:trPr>
          <w:trHeight w:val="595" w:hRule="atLeast"/>
        </w:trPr>
        <w:tc>
          <w:tcPr>
            <w:tcW w:w="451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一、产业生产运营点监控系统（10）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2892"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400万星光红外高清摄像机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1/3英寸400万像素图像传感器；支持H.265、超级H.265，定焦3.6/6/8mm可选，4MP(2590×1520)，1-30帧/秒；1个10M/100M Base-TX自适应以太网电口；支持音频告警，电源：DC 12V±25%，IP66防护等级，内置红外补光，100m红外,全尾线，金属外壳，光学宽动态，三码流套餐，支持9:16走廊模式，运动检测，越界检测，区域入侵，声音异常，人脸检测，人脸检测，客流统计，语音对讲，告警输入/输出，支持GB28181-2016协议</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69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设备装配箱</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防锈漆金属/A箱 /180*140*70mm</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POE供电交换机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8个百兆POE+2个百兆电口，POE功率120W，前面板监控模式开关，* 支持工作模式切换，可在普通交换机/安全交换机/监控交换机之间进行切换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支持端口流量控制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支持安全模式，所有下行端口只能和上行端口通信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支持监控模式，可延长网络传输至250米</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支持buffer 优化，保证视频数据传输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全金属机壳，安全可靠</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9"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摄像机壁装支架</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05全铝I型支架/底盘直径8.7cm/高22cm，适合壁装，吊装</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529"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监控立杆</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3米镀锌立杆，含地笼、预埋件</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根</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19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摄像机二合一防雷（等电位）</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电源部分：Un: 230V  Uc: 275V   Isn: 10KAImax: 20KA    ta: &lt;25ns（波形：8~20us）</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网络部分：Un: 5V  Uc: 12V   In: 5KA Imax: 10KA  Vs:10/100Mbps  ta: ≤10ns（波形：8~20us）</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前端汇聚交换机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8千兆电口、精巧铁壳结构设计，16Gbps， 全千兆稳定传输， 接入、汇聚、核心灵活选择</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超五类网线</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灰、超五类99.99%高纯度无氧铜网线(线径0.5、非屏蔽)-305米，满足【CPR报告】 【国家电线电缆质量监督检验中心报告】。</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箱</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711"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PVC管</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PVC线管、管材20mm规格，包含管卡</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w:t>
            </w:r>
          </w:p>
        </w:tc>
      </w:tr>
      <w:tr>
        <w:tblPrEx>
          <w:tblCellMar>
            <w:top w:w="0" w:type="dxa"/>
            <w:left w:w="0" w:type="dxa"/>
            <w:bottom w:w="0" w:type="dxa"/>
            <w:right w:w="0" w:type="dxa"/>
          </w:tblCellMar>
        </w:tblPrEx>
        <w:trPr>
          <w:trHeight w:val="1457"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监视器</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工业级面板，支持7×24小时不间断工作，内置扬声器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采用工业级的电源模组，系统稳定可靠，低功耗，长寿命，1个HDMI接口，1个VGA接口，防磁场、防干扰</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2414"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SMR硬盘</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1、3.5"英寸，4TB容量，SATA 6Gb/S, 缓存256M，5400转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2、4TB监控级容量，视频失帧相比减少一半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3、支持至少32路高清500万接入同时读写能力                          4、24x7 全日值守型恶劣高清监控环境的标准                       5、支持 ATA 流式传输</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19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管理存储主机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4路H.265、H.264混合接入;40M接入;64M转发;1盘位;1U;1个HDMI、1个VGA，同源输出，HDMI支持4K，VGA支持2K显示;报警4进1出;4路1080P25或1路4K  H.265、H264混合解码;1个百兆网口;3个USB2.0;人脸检测/区域入侵/越界检测/音频检测等;智能检索;客流量统计;</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双频路由器</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1个千兆WAN口+3个千兆LAN口，支持APP远程管理；支持MU-MIMO，支持多频合一；更稳定的软件系统；</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辅材辅料</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含卡丁、扎带、电源排插、接插件、转接头、防水胶布、电工胶布、螺丝、膨胀钉等耗材及相关耗材</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安装调试</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含随配附件、工具、线路铺设、配电、设备运抵指定地点运杂费、安装调试费、改造线路整合及保修等。</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821" w:hRule="atLeast"/>
        </w:trPr>
        <w:tc>
          <w:tcPr>
            <w:tcW w:w="4512"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二、益农服务站监控系统（50个）</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2892"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400万星光红外高清摄像机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1/3英寸400万像素图像传感器；支持H.265、超级H.265，定焦3.6/6/8mm可选，4MP(2590×1520)，1-30帧/秒；1个10M/100M Base-TX自适应以太网电口；支持音频告警，电源：DC 12V±25%，IP66防护等级，内置红外补光，100m红外,全尾线，金属外壳，光学宽动态，三码流套餐，支持9:16走廊模式，运动检测，越界检测，区域入侵，声音异常，人脸检测，人脸检测，客流统计，语音对讲，告警输入/输出，支持GB28181-2016协议</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69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设备装配箱</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防锈漆金属/A箱 /180*140*70mm</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529"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摄像机壁装支架</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05全铝I型支架/底盘直径8.7cm/高22cm，适合壁装，吊装</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529"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POE交换机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711"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PVC管</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PVC线管、管材20mm规格，包含管卡</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超五类网线</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灰、超五类99.99%高纯度无氧铜网线(线径0.5、非屏蔽)-305米，满足【CPR报告】 【国家电线电缆质量监督检验中心报告】。</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箱</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1457"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硬盘录像机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4路H.265、H.264混合接入;40M接入;64M转发;1盘位;1U;1个HDMI、1个VGA，同源输出，HDMI支持4K，VGA支持2K显示;报警4进1出;4路1080P25解码;1个百兆网口;3个USB2.0;</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双频路由器</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1个千兆WAN口+3个千兆LAN口，支持APP远程管理；支持MU-MIMO，支持多频合一；更稳定的软件系统；</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安装调试</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含随配附件、工具、线路铺设、配电、设备运抵指定地点运杂费、安装调试费、改造线路整合及保修等。</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606" w:hRule="atLeast"/>
        </w:trPr>
        <w:tc>
          <w:tcPr>
            <w:tcW w:w="418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二、在线环境监测系统</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显示屏</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显示面积96*48,，3行3列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环境监测主机</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支持485、232传感器数据参数缓存、续传，支持报警联动输出警示音，警示灯，支持4G数据上传，支持多协议传感器和GPS定位</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温湿度传感器</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量程：-40～100℃ 分辨率：0.1℃ 精度：±0.5℃ 材质： NTC R25:10KΩ±0.5% 热时常数：15S  工作温度范围：－60－150℃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606"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光照传感器</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量程：0-65535lux；分辨率：1lux；精准度：±7lux；RS485输出；输入电压12V</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rPr>
          <w:trHeight w:val="606"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大气压传感器</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606"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数据卡</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4G数据卡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年</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立杆</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1、2.5-3米用料镀锌钢管114转89杆 厚度2.5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2、地笼用4条14螺杆对角线280*280*300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辅材辅料</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含卡丁、扎带、电源排插、接插件、转接头、防水胶布、电工胶布、螺丝、膨胀钉等耗材及相关耗材</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安装调试</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含随配附件、工具、线路铺设、配电、设备运抵指定地点运杂费、安装调试费、改造线路整合及保修等。</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91" w:hRule="atLeast"/>
        </w:trPr>
        <w:tc>
          <w:tcPr>
            <w:tcW w:w="41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三、运营中心平台/显示系统</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snapToGrid w:val="0"/>
              <w:spacing w:before="0" w:beforeLines="0" w:after="0" w:afterLines="0" w:line="360" w:lineRule="auto"/>
              <w:jc w:val="center"/>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综合管理平台服务器</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1、设备管理集中：能统一管理IPC、NVR（包括混合NVR）、网络键盘、解码器、IP存储、云存储、云终端、人脸终端等设备</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2、配置设备高效：能自动搜索（可跨网段搜索）、通过IP/域名方式添加设备、支持EZDDNS添加设备、批量添加、批量校时等</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 业务功能丰富：</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实况：支持场景恢复、自定义分屏模式、单屏多画面分割、辅屏播放、走廊模式、视频轮巡、随路音频、双向语音对讲</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录像：本地录像、告警联动录像、计划录像、录像下载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回放：同步/异步回放、即时回放、智能搜索、录像检索、SD卡检索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云台控制：云台预置位、录制巡航、轨迹巡航、巡航计划</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告警：业务告警（事件告警、智能告警）、设备告警（设备上线/离线等）、告警联动（联动实况等）、实时/历史告警管理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客流量统计：进入/离开/进入和离开人数统计、日报表/周报表/月报表/年报表数据导出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电子地图：热点、热区、鹰眼、查看实况、地图告警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电视墙：实况解码上墙、轮巡解码上墙、回放解码上墙、告警联动上墙、一键开窗、自动绑定解码通道、通道分屏、场景保存与切换、小间距LED、虚拟LED</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 支持3D综合安防应用平台，采用时空化应用关联设计，给用户提供更全面的立体信息，让客户快速全面了解事件并即时处理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5、采用自主知识产权的3D引擎，支持高速的图像渲染和对安防业务的无缝贴合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 采用独特的业务代理框架设计，可灵活适配多种安防报警业务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7、支持地图内的快速定位，可以通过快捷键实现快速的3D场景切换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8、支持报警联动场景定位，并显示出报警点周围的相关信息</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9、提供身临其境的人员和车辆追踪</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10、全业务化应用模式，虚拟现实与扁平化快速搜索并存，所见即所得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11、支持多种安防系统业务关联和联动，实现统一管理和可视化指挥</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12、支持摄像机的虚拟布点和查看</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13、支持摄像机的立体可视域的配置和查看</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14、支持门禁的管理，支持动态联动门禁，可视化操作开关门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高可靠性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15、 服务器有看护进程驻守，能有效防止进程异常引起的业务中断</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包含视频监控、报警管理、事件库管理、车辆查询、地图应用、人员管理、预案管理、配置管理等业务应用于一体的综合安防平台。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超强接入：可接入管理1000台设备，2000路视频通道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超强管理：支持对IPC、 NVR、编码器、解码器、网络键盘、报警主机、门禁主机等设备的统一接入管理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强兼容性：支持标准GB/T28181协议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强扩展性：支持设备主从级联扩展，性能、容量线性增加</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多种业务：支持实况、回放、轮巡、电视墙、电子地图、语音对讲、报警联动等功能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灵活访问：支持C/S客户端、B/S客户端、移动客户端（iphone、andriod手机、iPad）</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智能应用：支持拌线、入侵、人脸检测、客流量统计等智能化功能，并进行报警或报表等业务展现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安全可靠：支持802.1x认证、ARP防攻击、HTTPS安全链接、支持网络容错、负载均衡、多IP设定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丰富接口：3个千兆以太网口、1个PCIe插槽支持多种扩展网口卡、1个VGA接口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稳定可靠：部件模块化、无线缆设计，模块之间全部使用电信级连接器互连；软硬件两级watchdog，系统故障无需人为介入系统可自动恢复业务正常；硬件过载保护机制，当温度异常升高达到硬件保护门限，则系统会自动关机以保护磁盘数据；电源模块冗余设计，支持在线热插拔及更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数据保护：数据保险箱功能，在系统异常断电后，电池继续供电以保证将缓存数据写入数据保险箱，保证数据的完整性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RAID保护：磁盘容错处理，当阵列多个磁盘错误的情况下，仍然保证业务可持续；阵列自动巡检和磁盘故障修复、磁盘坏块重映射功能有效降低磁盘故障；磁盘预拷贝，支持磁盘健康管理，对有风险的磁盘提前进行数据预拷贝；秒级重建，只重建数据发生变化的部分，可将重建时间缩短至秒级；快速重建，通过拷贝方式重建数据，在较短时间内将濒危数据迁移至热备盘；根据当前系统繁忙情况自动调整阵列组的重建速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高密设计：4U，可支持高达24、36、48盘位存储（盘位因型号而定），前面板维护，支持磁盘在线热插拔</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简易维护：图形化多设备管理，全面实时环控检测，强大全面的设备告警机制，支持指示灯告警、邮件告警、蜂鸣告警、短信告警、数码管告警、SNMP 告警等</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环保节能：磁盘进行休眠，减少磁盘功耗，有效延长磁盘使用寿命，CPU 智能调频，根据业务繁忙程度自动调整CPU 频率，风扇多级调速技术，智能温控风扇转速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防尘防震：设备防尘网有效阻挡灰尘，专利的磁盘防震技术，降低磁盘共振传递以及外界对磁盘的冲击</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849"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三层网管数据交换机</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L3网管型12*10/100/1000M电口+4*1/10G(SFP+)万兆光口插槽，以太网汇聚/核心交换机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背板带宽：598Gbps，包转发缓存：32M</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包转发率：77.38Mpps，MAC地址表：32K</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支持IPV4/IPV6管理、三层静态路由全线速转发</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交换机具备QOS,STP/RSTP、IGMP、DHCP、SNMP、WEB、VLAN、ERPS等网管功能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内置交流电源，标准1U尺寸，适合19寸机架安装</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不含光纤模块，可配SFP+万兆光模块</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772"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云终端</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设备管理集中：能统一管理IPC、NVR（包括混合NVR）、网络键盘、解码器等设备</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配置设备高效：能自动搜索（可跨网段搜索）、通过IP/域名方式添加设备、支持EZDDNS添加设备、批量添加、批量校时等</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业务功能丰富：</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实况：支持场景恢复、自定义分屏模式、单屏多画面分割、辅屏播放、走廊模式、视频轮巡、随路音频、双向语音对讲</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录像：本地录像、告警联动录像、计划录像、录像下载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回放：同步/异步回放、即时回放、智能搜索、录像检索、SD卡检索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云台控制：云台预置位、录制巡航、轨迹巡航、巡航计划</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告警：业务告警（事件告警、智能告警）、设备告警（设备上线/离线等）、告警联动（联动实况等）、实时/历史告警管理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客流量统计：进入/离开/进入和离开人数统计、日报表/周报表/月报表/年报表数据导出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电子地图：热点、热区、鹰眼、查看实况、地图告警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电视墙：实况解码上墙、轮巡解码上墙、回放解码上墙、告警联动上墙、一键开窗、自动绑定解码通道、通道分屏、场景保存与切换、小间距LED、虚拟LED1、HDMI1.3输出 1路接显示器，最大分辨率1920x1080@60Hz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2、VGA输出 1路接显示器，最大分辨率2048x1280@60Hz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3、解码参数 格式 H.256、H264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4、客户端 VM EZStaion VMS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5、解码能力 1*4K@30/6*1080P@30/9*720P@30/12*D1@30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6、音频接口 1路音频输出，1路麦克风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7、USB接口 1个USB3.0，4个USB2.0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8、以太网口 1000M自适应以太网口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9、控制接口 两路COM接口（RS232）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10、含Win10 64位操作系统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11、CPU J1900 CPU @2GHz 4核4线程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12、GPU Intel Graphics Z3700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13、硬盘 128G SSD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14、内存 4G DDR3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15、工作温度 0℃~40℃ </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16、工作湿度 ≤95%RH </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高清视频解码器</w:t>
            </w:r>
          </w:p>
        </w:tc>
        <w:tc>
          <w:tcPr>
            <w:tcW w:w="30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1、采用嵌入式Linux操作系统，支持7×24小时稳定运行，不易受到黑客、病毒的入侵和攻击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一个接口最大支持同时解码1路800W@30、或4路1080P@30，或9路720P@30，或16路D1实时解码，输出口分辨率1024x768（XGA）@60HZ、1280x720（720P）@60HZ、1280x1024（SXGA）@60HZ、1440x900（WSXGA）@60HZ、1600x1200（UXGA）@60HZ、1920X1080（1080P）@60HZ</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3、支持解码H.265、H.264的编码格式</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4、支持9路DVI-D视频输出接口，1路DVI-D视频输入接口，1个RJ45接口的RS232串口，1个RJ45接口的RS485接口，1个RJ45接口的半双工/全双工以太网接口，支持10M/100M/1000M Base-T自适应，1个USB接口，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5、输出图像分辨率可兼容业界主流显示设备，最高可达1080P@60Hz</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6、支持单路视频输出的分屏处理，支持1、2、3、4、6、7、9、16多种分屏模式</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7、支持拼接上墙，M*N≤9</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8、支持PC机视频信号上墙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9、支持解码主流厂商的私有码流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10、支持PC机视频信号上墙，支持接受中心服务器对设备业务进行配置和管理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11、支持定时向服务器同步时钟的功能，支持WEB方式访问、配置，支持本地升级和远程升级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12、工作电压：100~240V，最大功耗&lt;54W，尺寸：44mm（高）×440mm（宽）×339mm（深），重量3.5 Kg，工作温度：-10℃～55</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1457"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监测系统管理电脑</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英特尔六核 Core i5-10500(3.1G)/B460/4GB DDR4 /1TB 7200转/集显VGA+HDMI/Win 10 Home 64位操作系统/260W电源/8个USB接口/串口/1个PCI+3个PCIE/硬盘保护增强套件/3年上门服务/14.6L机箱/21.5寸</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762"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机柜</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1、规格：600*600*1600    2、外观： 机柜表面光洁，色泽均匀、无流积、无起泡，无裂纹金属件无毛刺锈蚀，涂覆标志符合GB/T4054-1983的要求。3、材料：采用高强度的韩钢优质度锌板，机柜主体骨架材料厚度不少于1.5mm，承重层板材料厚度不少于2.0mm，前、后门板材料厚度不少于1.2mm，其它材料厚度不少于1.0mm。4、结构：19英寸，EIA标准立柱，成型材结构，落地式机柜的结构：框架、底部加固以达到增强机柜强度的效果。侧后为可拆钢板门 5、前门:单开玻璃门设计，后门为快速拆卸钢板门设计  可拆卸的左右侧板和前后门，全模块式设计，实现全方位操作。机柜立柱标有RMU数，安装设备更明了。6、散热：采用顶部低噪声轴流风机主动散热方式，风机不少于二个，电源为220伏。7、层板：每台机柜提供一个固定层板,每块层板可承重不少于100KG；8、电源：配置一个5位万能输出电源；9、抗震：装配紧固。能抵御冲击、摔到、剧烈晃动所带来的损坏，可抗8级地震，机柜与机柜支架牢固安装；10、线槽：每个机柜配置两条垂直走线槽；11、脚轮：每个机柜提供滑动脚轮1套便于搬运；12、安装套件：每个机柜配置50套安装套件；13、承重：机柜最大静载荷应满足820KG。14、粉沫：ICI专业高硬度粉沫，确保达到防静电及BS6497国际标准，符合欧洲ROSH标准。15、表层：IP20级安全保护标准，采用全自动喷涂生产线，先磷酸盐防锈加保护模处理，后进入高温喷粉，表层耐磨。</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1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8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全千兆路由器</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阵列天线（板阵）；支持千兆宽带、支持MU-MIMO，支持手机APP远程管理；网络标准 IEEE802.11a，IEEE802.11b，IEEE802.11g，IEEE802.11n，IEEE802.11ac，IEEE802.3，IEEE802.3u</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网络协议 TCP/IP协议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最高传输速率 2600Mbps</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传输速率 2.4GHz频段：800Mbps</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5GHz频段：1733Mbps</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频率范围 双频（2.4GHz，5GHz）</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网络接口 1个10/100Mbps WAN口，4个10/100Mbps LAN口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其它参数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状态指示灯 SYS系统指示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各端口Link/Act指示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电源功率 100-240V AC，50/60Hz</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环境标准 工作温度：0℃到40℃</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存储温度：-40℃到70℃</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工作湿度：10%到90%RH不凝结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工作湿度：10%到90%RH不凝结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其它特点 按钮：Reset按钮纠错</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19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室内P1.8表贴三合一全彩色LED显示屏</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点间距：1.86mm，发光点颜色：1红1绿1蓝（1R1G1B），密度：288906点/ ㎡，灯管封装为：金线SMD1515，单元板尺寸：320mm×160mm，模组行列数：宽172点×高86点；驱动方式：1/43扫，刷新频率：≥3000HZ，寿命：≥10万小时，盲点率：＜万分之一，亮度：≥600cd/㎡</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平米</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7.9872</w:t>
            </w:r>
          </w:p>
        </w:tc>
      </w:tr>
      <w:tr>
        <w:tblPrEx>
          <w:tblCellMar>
            <w:top w:w="0" w:type="dxa"/>
            <w:left w:w="0" w:type="dxa"/>
            <w:bottom w:w="0" w:type="dxa"/>
            <w:right w:w="0" w:type="dxa"/>
          </w:tblCellMar>
        </w:tblPrEx>
        <w:trPr>
          <w:trHeight w:val="1457"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视频控制器</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V1060：帯载390万；三画面；横向最大4096，纵向最大4096,；输入：1×SDI，1×CVBS，1×VGA，1×DVI，2×HDMI；输出6网口；选配：U盘脱机机播放，支持无线投屏，1×Audio，鼠标控制；6网口输出</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接收卡</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DH7152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控制软件</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LED播放软件</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屏体框架/装饰结构</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钢结构内框，室内专用铝型材包边；</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常规挂墙安装支撑钢结构；</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平米</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8.5892</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控制电脑</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I5-6500/4G/500G</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音箱</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CDK-203(20W/只）</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功放</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CDK-2131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备品备件</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P1.8单元板2张、电源1个、接收卡1张</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配电箱</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FY-10KW</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通讯线及线槽</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超五类网线，100米内</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音箱线及线槽</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100米内</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电源线及线槽</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三相五线铜芯线，100米内</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97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辅材辅料</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含卡丁、扎带、电源排插、接插件、转接头、防水胶布、电工胶布、螺丝、膨胀钉等耗材及相关耗材</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98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安装调试</w:t>
            </w:r>
          </w:p>
        </w:tc>
        <w:tc>
          <w:tcPr>
            <w:tcW w:w="30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含随配附件、工具、线路铺设、配电、设备运抵指定地点运杂费、安装调试费、改造线路整合及保修等。</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r>
    </w:tbl>
    <w:p>
      <w:pPr>
        <w:pageBreakBefore w:val="0"/>
        <w:kinsoku/>
        <w:wordWrap/>
        <w:overflowPunct/>
        <w:topLinePunct w:val="0"/>
        <w:autoSpaceDE/>
        <w:autoSpaceDN/>
        <w:bidi w:val="0"/>
        <w:snapToGrid w:val="0"/>
        <w:spacing w:line="360" w:lineRule="auto"/>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6"/>
        <w:rPr>
          <w:rFonts w:hint="eastAsia"/>
          <w:lang w:val="en-US" w:eastAsia="zh-CN"/>
        </w:rPr>
      </w:pPr>
    </w:p>
    <w:p>
      <w:pPr>
        <w:bidi w:val="0"/>
        <w:rPr>
          <w:rFonts w:hint="eastAsia"/>
          <w:color w:val="auto"/>
          <w:lang w:val="en-US" w:eastAsia="zh-CN"/>
        </w:rPr>
      </w:pPr>
    </w:p>
    <w:p>
      <w:pPr>
        <w:bidi w:val="0"/>
        <w:rPr>
          <w:rFonts w:hint="eastAsia"/>
          <w:color w:val="auto"/>
          <w:lang w:val="en-US" w:eastAsia="zh-CN"/>
        </w:rPr>
      </w:pPr>
    </w:p>
    <w:p>
      <w:pPr>
        <w:pStyle w:val="3"/>
        <w:pageBreakBefore w:val="0"/>
        <w:kinsoku/>
        <w:wordWrap/>
        <w:overflowPunct/>
        <w:topLinePunct w:val="0"/>
        <w:autoSpaceDE/>
        <w:autoSpaceDN/>
        <w:bidi w:val="0"/>
        <w:snapToGrid w:val="0"/>
        <w:spacing w:line="360" w:lineRule="auto"/>
        <w:ind w:left="0" w:leftChars="0" w:firstLine="0" w:firstLineChars="0"/>
        <w:rPr>
          <w:rFonts w:hint="eastAsia"/>
          <w:color w:val="auto"/>
          <w:sz w:val="36"/>
          <w:szCs w:val="36"/>
          <w:lang w:val="en-US" w:eastAsia="zh-CN"/>
        </w:rPr>
      </w:pPr>
    </w:p>
    <w:p>
      <w:pPr>
        <w:pStyle w:val="3"/>
        <w:pageBreakBefore w:val="0"/>
        <w:kinsoku/>
        <w:wordWrap/>
        <w:overflowPunct/>
        <w:topLinePunct w:val="0"/>
        <w:autoSpaceDE/>
        <w:autoSpaceDN/>
        <w:bidi w:val="0"/>
        <w:snapToGrid w:val="0"/>
        <w:spacing w:line="360" w:lineRule="auto"/>
        <w:ind w:left="0" w:leftChars="0" w:firstLine="0" w:firstLineChars="0"/>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附件三：</w:t>
      </w:r>
    </w:p>
    <w:p>
      <w:pPr>
        <w:pStyle w:val="3"/>
        <w:pageBreakBefore w:val="0"/>
        <w:kinsoku/>
        <w:wordWrap/>
        <w:overflowPunct/>
        <w:topLinePunct w:val="0"/>
        <w:autoSpaceDE/>
        <w:autoSpaceDN/>
        <w:bidi w:val="0"/>
        <w:snapToGrid w:val="0"/>
        <w:spacing w:line="360" w:lineRule="auto"/>
        <w:ind w:left="0" w:leftChars="0" w:firstLine="0" w:firstLine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《全州县2021年广西信息进村入户产业数字化提升工程项目实施资金分配方案》</w:t>
      </w:r>
    </w:p>
    <w:tbl>
      <w:tblPr>
        <w:tblStyle w:val="11"/>
        <w:tblW w:w="5000" w:type="pct"/>
        <w:tblInd w:w="0" w:type="dxa"/>
        <w:shd w:val="clear" w:color="auto" w:fill="auto"/>
        <w:tblLayout w:type="autofit"/>
        <w:tblCellMar>
          <w:top w:w="0" w:type="dxa"/>
          <w:left w:w="0" w:type="dxa"/>
          <w:bottom w:w="0" w:type="dxa"/>
          <w:right w:w="0" w:type="dxa"/>
        </w:tblCellMar>
      </w:tblPr>
      <w:tblGrid>
        <w:gridCol w:w="1501"/>
        <w:gridCol w:w="2710"/>
        <w:gridCol w:w="5031"/>
        <w:gridCol w:w="3230"/>
        <w:gridCol w:w="1510"/>
      </w:tblGrid>
      <w:tr>
        <w:tblPrEx>
          <w:shd w:val="clear" w:color="auto" w:fill="auto"/>
          <w:tblCellMar>
            <w:top w:w="0" w:type="dxa"/>
            <w:left w:w="0" w:type="dxa"/>
            <w:bottom w:w="0" w:type="dxa"/>
            <w:right w:w="0"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全州县2021年广西信息进村入户产业数字化提升工程项目实施资金分配方案（单位：万元）</w:t>
            </w:r>
          </w:p>
        </w:tc>
      </w:tr>
      <w:tr>
        <w:tblPrEx>
          <w:shd w:val="clear" w:color="auto" w:fill="auto"/>
          <w:tblCellMar>
            <w:top w:w="0" w:type="dxa"/>
            <w:left w:w="0" w:type="dxa"/>
            <w:bottom w:w="0" w:type="dxa"/>
            <w:right w:w="0" w:type="dxa"/>
          </w:tblCellMar>
        </w:tblPrEx>
        <w:trPr>
          <w:trHeight w:val="248"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项目建设名称</w:t>
            </w: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项目建设内容</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投入资金</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小计</w:t>
            </w:r>
          </w:p>
        </w:tc>
      </w:tr>
      <w:tr>
        <w:tblPrEx>
          <w:shd w:val="clear" w:color="auto" w:fill="auto"/>
          <w:tblCellMar>
            <w:top w:w="0" w:type="dxa"/>
            <w:left w:w="0" w:type="dxa"/>
            <w:bottom w:w="0" w:type="dxa"/>
            <w:right w:w="0" w:type="dxa"/>
          </w:tblCellMar>
        </w:tblPrEx>
        <w:trPr>
          <w:trHeight w:val="1312" w:hRule="atLeast"/>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建设可视化全产业链大数据指挥系统</w:t>
            </w: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生产运营点监控、环境监控、运营中心等设备采购与安装，包括监控类设备与相关的其他的物联网设备等，包括安装与售后维修等服务</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155</w:t>
            </w:r>
          </w:p>
        </w:tc>
      </w:tr>
      <w:tr>
        <w:tblPrEx>
          <w:shd w:val="clear" w:color="auto" w:fill="auto"/>
          <w:tblCellMar>
            <w:top w:w="0" w:type="dxa"/>
            <w:left w:w="0" w:type="dxa"/>
            <w:bottom w:w="0" w:type="dxa"/>
            <w:right w:w="0" w:type="dxa"/>
          </w:tblCellMar>
        </w:tblPrEx>
        <w:trPr>
          <w:trHeight w:val="875"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autoSpaceDE/>
              <w:autoSpaceDN/>
              <w:bidi w:val="0"/>
              <w:snapToGrid w:val="0"/>
              <w:spacing w:line="360" w:lineRule="auto"/>
              <w:jc w:val="center"/>
              <w:rPr>
                <w:rFonts w:hint="eastAsia" w:ascii="仿宋_GB2312" w:hAnsi="仿宋_GB2312" w:eastAsia="仿宋_GB2312" w:cs="仿宋_GB2312"/>
                <w:i w:val="0"/>
                <w:color w:val="auto"/>
                <w:sz w:val="24"/>
                <w:szCs w:val="24"/>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260" w:lineRule="exact"/>
              <w:jc w:val="center"/>
              <w:rPr>
                <w:rFonts w:hint="eastAsia" w:ascii="仿宋_GB2312" w:hAnsi="仿宋_GB2312" w:eastAsia="仿宋_GB2312" w:cs="仿宋_GB2312"/>
                <w:i w:val="0"/>
                <w:color w:val="auto"/>
                <w:sz w:val="24"/>
                <w:szCs w:val="24"/>
                <w:u w:val="none"/>
              </w:rPr>
            </w:pP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平台开发、测试与交付，按照项目清单完成系统平台与子系统的整体开发建设</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autoSpaceDE/>
              <w:autoSpaceDN/>
              <w:bidi w:val="0"/>
              <w:snapToGrid w:val="0"/>
              <w:spacing w:line="360" w:lineRule="auto"/>
              <w:jc w:val="center"/>
              <w:rPr>
                <w:rFonts w:hint="eastAsia" w:ascii="仿宋_GB2312" w:hAnsi="仿宋_GB2312"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731"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autoSpaceDE/>
              <w:autoSpaceDN/>
              <w:bidi w:val="0"/>
              <w:snapToGrid w:val="0"/>
              <w:spacing w:line="360" w:lineRule="auto"/>
              <w:jc w:val="center"/>
              <w:rPr>
                <w:rFonts w:hint="eastAsia" w:ascii="仿宋_GB2312" w:hAnsi="仿宋_GB2312" w:eastAsia="仿宋_GB2312" w:cs="仿宋_GB2312"/>
                <w:i w:val="0"/>
                <w:color w:val="auto"/>
                <w:sz w:val="24"/>
                <w:szCs w:val="24"/>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260" w:lineRule="exact"/>
              <w:jc w:val="center"/>
              <w:rPr>
                <w:rFonts w:hint="eastAsia" w:ascii="仿宋_GB2312" w:hAnsi="仿宋_GB2312" w:eastAsia="仿宋_GB2312" w:cs="仿宋_GB2312"/>
                <w:i w:val="0"/>
                <w:color w:val="auto"/>
                <w:sz w:val="24"/>
                <w:szCs w:val="24"/>
                <w:u w:val="none"/>
              </w:rPr>
            </w:pP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村级益农信息社服务站运营监控与管理，负责站点监控安装与售后维修等服务</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autoSpaceDE/>
              <w:autoSpaceDN/>
              <w:bidi w:val="0"/>
              <w:snapToGrid w:val="0"/>
              <w:spacing w:line="360" w:lineRule="auto"/>
              <w:jc w:val="center"/>
              <w:rPr>
                <w:rFonts w:hint="eastAsia" w:ascii="仿宋_GB2312" w:hAnsi="仿宋_GB2312"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864"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建设“全州禾花鱼”品牌打造、运营和产销对接服务体系</w:t>
            </w: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建设品牌VI体系与管理规范，开展品牌培育与推广，推进销售创新与产销对接</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r>
      <w:tr>
        <w:tblPrEx>
          <w:shd w:val="clear" w:color="auto" w:fill="auto"/>
          <w:tblCellMar>
            <w:top w:w="0" w:type="dxa"/>
            <w:left w:w="0" w:type="dxa"/>
            <w:bottom w:w="0" w:type="dxa"/>
            <w:right w:w="0" w:type="dxa"/>
          </w:tblCellMar>
        </w:tblPrEx>
        <w:trPr>
          <w:trHeight w:val="864"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网络营销师、带货主播、电商达人培育</w:t>
            </w:r>
          </w:p>
        </w:tc>
        <w:tc>
          <w:tcPr>
            <w:tcW w:w="179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以授课、技能实操、孵化指导等形式培育网络营销师、带货主播、电商达人不少于50人。</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382"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总计</w:t>
            </w:r>
          </w:p>
        </w:tc>
        <w:tc>
          <w:tcPr>
            <w:tcW w:w="4462"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w:t>
            </w:r>
          </w:p>
        </w:tc>
      </w:tr>
    </w:tbl>
    <w:p>
      <w:pPr>
        <w:pageBreakBefore w:val="0"/>
        <w:kinsoku/>
        <w:wordWrap/>
        <w:overflowPunct/>
        <w:topLinePunct w:val="0"/>
        <w:autoSpaceDE/>
        <w:autoSpaceDN/>
        <w:bidi w:val="0"/>
        <w:snapToGrid w:val="0"/>
        <w:spacing w:line="360" w:lineRule="auto"/>
        <w:rPr>
          <w:rFonts w:hint="eastAsia"/>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黑体_GBK">
    <w:altName w:val="Microsoft YaHei"/>
    <w:panose1 w:val="00000000000000000000"/>
    <w:charset w:val="86"/>
    <w:family w:val="script"/>
    <w:pitch w:val="default"/>
    <w:sig w:usb0="00000000" w:usb1="00000000" w:usb2="00000000" w:usb3="00000000" w:csb0="00040000" w:csb1="00000000"/>
  </w:font>
  <w:font w:name="仿宋_GB2312">
    <w:altName w:val="Microsoft YaHei"/>
    <w:panose1 w:val="02010609030101010101"/>
    <w:charset w:val="86"/>
    <w:family w:val="auto"/>
    <w:pitch w:val="default"/>
    <w:sig w:usb0="00000000" w:usb1="00000000" w:usb2="00000000" w:usb3="00000000" w:csb0="00040000" w:csb1="00000000"/>
    <w:embedRegular r:id="rId1" w:fontKey="{F4D3DD70-2397-403D-AD0B-74BD3DCDC271}"/>
  </w:font>
  <w:font w:name="方正小标宋简体">
    <w:altName w:val="宋体"/>
    <w:panose1 w:val="03000509000000000000"/>
    <w:charset w:val="86"/>
    <w:family w:val="auto"/>
    <w:pitch w:val="default"/>
    <w:sig w:usb0="00000000" w:usb1="00000000" w:usb2="00000000" w:usb3="00000000" w:csb0="00040000" w:csb1="00000000"/>
    <w:embedRegular r:id="rId2" w:fontKey="{65AB36D2-61A3-49DA-B8A2-C958812CCBA7}"/>
  </w:font>
  <w:font w:name="方正仿宋_GBK">
    <w:altName w:val="Microsoft YaHei"/>
    <w:panose1 w:val="03000509000000000000"/>
    <w:charset w:val="86"/>
    <w:family w:val="auto"/>
    <w:pitch w:val="default"/>
    <w:sig w:usb0="00000000" w:usb1="00000000" w:usb2="00000000" w:usb3="00000000" w:csb0="00040000" w:csb1="00000000"/>
  </w:font>
  <w:font w:name="仿宋">
    <w:altName w:val="Microsoft YaHei"/>
    <w:panose1 w:val="02010609060101010101"/>
    <w:charset w:val="86"/>
    <w:family w:val="auto"/>
    <w:pitch w:val="default"/>
    <w:sig w:usb0="00000000" w:usb1="00000000" w:usb2="00000016" w:usb3="00000000" w:csb0="00040001" w:csb1="00000000"/>
  </w:font>
  <w:font w:name="FZHei-B01S">
    <w:panose1 w:val="02000000000000000000"/>
    <w:charset w:val="86"/>
    <w:family w:val="auto"/>
    <w:pitch w:val="default"/>
    <w:sig w:usb0="A00002BF" w:usb1="184F6CFA" w:usb2="00000012" w:usb3="00000000" w:csb0="00040001" w:csb1="00000000"/>
    <w:embedRegular r:id="rId3" w:fontKey="{68EEEDA1-D863-408E-B4D6-24A7A944954C}"/>
  </w:font>
  <w:font w:name="Microsoft YaHe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1BC15"/>
    <w:multiLevelType w:val="singleLevel"/>
    <w:tmpl w:val="D421BC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6D50"/>
    <w:rsid w:val="05740424"/>
    <w:rsid w:val="07DC65CF"/>
    <w:rsid w:val="081F2993"/>
    <w:rsid w:val="08623EDB"/>
    <w:rsid w:val="0AB84162"/>
    <w:rsid w:val="119B6526"/>
    <w:rsid w:val="13506F74"/>
    <w:rsid w:val="144F6DD9"/>
    <w:rsid w:val="18BA772A"/>
    <w:rsid w:val="19935A58"/>
    <w:rsid w:val="1AF12A44"/>
    <w:rsid w:val="1F8A5A22"/>
    <w:rsid w:val="1FA457F7"/>
    <w:rsid w:val="20E82D2C"/>
    <w:rsid w:val="224A56ED"/>
    <w:rsid w:val="275D6B15"/>
    <w:rsid w:val="296E2474"/>
    <w:rsid w:val="29AF0812"/>
    <w:rsid w:val="2C463AD5"/>
    <w:rsid w:val="3069048E"/>
    <w:rsid w:val="311D6E48"/>
    <w:rsid w:val="330554E5"/>
    <w:rsid w:val="33926FC9"/>
    <w:rsid w:val="34006EC4"/>
    <w:rsid w:val="359725B6"/>
    <w:rsid w:val="367512EC"/>
    <w:rsid w:val="37CC0DE5"/>
    <w:rsid w:val="38097372"/>
    <w:rsid w:val="390D1777"/>
    <w:rsid w:val="392E4E7E"/>
    <w:rsid w:val="3BA71827"/>
    <w:rsid w:val="3BD25CC1"/>
    <w:rsid w:val="40DA7FC7"/>
    <w:rsid w:val="428F1404"/>
    <w:rsid w:val="44D6203D"/>
    <w:rsid w:val="4C764828"/>
    <w:rsid w:val="4D5A69BE"/>
    <w:rsid w:val="4D731CA7"/>
    <w:rsid w:val="5659237C"/>
    <w:rsid w:val="588079A3"/>
    <w:rsid w:val="593825DE"/>
    <w:rsid w:val="5B57558B"/>
    <w:rsid w:val="5C800754"/>
    <w:rsid w:val="5D81786F"/>
    <w:rsid w:val="5DCB22E4"/>
    <w:rsid w:val="63B87286"/>
    <w:rsid w:val="63CE42DF"/>
    <w:rsid w:val="68187D7C"/>
    <w:rsid w:val="6B253079"/>
    <w:rsid w:val="6C1C6682"/>
    <w:rsid w:val="6C4C101A"/>
    <w:rsid w:val="6EAB5A1E"/>
    <w:rsid w:val="6F9D732F"/>
    <w:rsid w:val="72655A3F"/>
    <w:rsid w:val="74A74054"/>
    <w:rsid w:val="78EA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1"/>
    <w:pPr>
      <w:ind w:left="236"/>
      <w:outlineLvl w:val="1"/>
    </w:pPr>
    <w:rPr>
      <w:rFonts w:ascii="宋体" w:hAnsi="宋体" w:eastAsia="宋体" w:cs="宋体"/>
      <w:sz w:val="44"/>
      <w:szCs w:val="4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黑体_GBK" w:hAnsi="方正黑体_GBK" w:eastAsia="方正黑体_GBK" w:cs="Times New Roman"/>
      <w:color w:val="000000"/>
      <w:sz w:val="24"/>
      <w:szCs w:val="22"/>
      <w:lang w:val="en-US" w:eastAsia="zh-CN" w:bidi="ar-SA"/>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32"/>
      <w:szCs w:val="3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paragraph" w:customStyle="1" w:styleId="15">
    <w:name w:val="Table Paragraph"/>
    <w:basedOn w:val="1"/>
    <w:qFormat/>
    <w:uiPriority w:val="1"/>
    <w:rPr>
      <w:rFonts w:ascii="宋体" w:hAnsi="宋体" w:eastAsia="宋体" w:cs="宋体"/>
      <w:lang w:val="en-US" w:eastAsia="zh-CN" w:bidi="ar-SA"/>
    </w:rPr>
  </w:style>
  <w:style w:type="character" w:customStyle="1" w:styleId="16">
    <w:name w:val="标题 1 Char"/>
    <w:link w:val="3"/>
    <w:qFormat/>
    <w:uiPriority w:val="0"/>
    <w:rPr>
      <w:rFonts w:ascii="宋体" w:hAnsi="宋体" w:eastAsia="宋体" w:cs="宋体"/>
      <w:sz w:val="44"/>
      <w:szCs w:val="44"/>
      <w:lang w:val="en-US" w:eastAsia="zh-CN" w:bidi="ar-SA"/>
    </w:rPr>
  </w:style>
  <w:style w:type="character" w:customStyle="1" w:styleId="17">
    <w:name w:val="font31"/>
    <w:basedOn w:val="13"/>
    <w:qFormat/>
    <w:uiPriority w:val="0"/>
    <w:rPr>
      <w:rFonts w:hint="default" w:ascii="Times New Roman" w:hAnsi="Times New Roman" w:cs="Times New Roman"/>
      <w:color w:val="000000"/>
      <w:sz w:val="24"/>
      <w:szCs w:val="24"/>
      <w:u w:val="none"/>
    </w:rPr>
  </w:style>
  <w:style w:type="character" w:customStyle="1" w:styleId="18">
    <w:name w:val="font1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2021-03-17T01:17:00Z</dcterms:created>
  <dc:creator>Administrator</dc:creator>
  <cp:lastModifiedBy>小唐</cp:lastModifiedBy>
  <dcterms:modified xsi:type="dcterms:W3CDTF">2021-03-30T08:50:13Z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7713931298844EA78DD187EBA3AF0A69</vt:lpwstr>
  </property>
  <property fmtid="{D5CDD505-2E9C-101B-9397-08002B2CF9AE}" pid="4" name="KSOSaveFontToCloudKey">
    <vt:lpwstr>281699794_btnclosed</vt:lpwstr>
  </property>
</Properties>
</file>